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5F9A9F12"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CE1E4E">
        <w:rPr>
          <w:b/>
          <w:bCs/>
          <w:noProof/>
          <w:sz w:val="24"/>
          <w:szCs w:val="24"/>
        </w:rPr>
        <w:t>2</w:t>
      </w:r>
      <w:r w:rsidR="00486864">
        <w:rPr>
          <w:b/>
          <w:bCs/>
          <w:noProof/>
          <w:sz w:val="24"/>
          <w:szCs w:val="24"/>
        </w:rPr>
        <w:t>1</w:t>
      </w:r>
      <w:r w:rsidR="002020BA">
        <w:rPr>
          <w:b/>
          <w:bCs/>
          <w:noProof/>
          <w:sz w:val="24"/>
          <w:szCs w:val="24"/>
        </w:rPr>
        <w:t xml:space="preserve">        </w:t>
      </w:r>
      <w:r w:rsidR="00AE4548">
        <w:rPr>
          <w:b/>
          <w:bCs/>
          <w:noProof/>
          <w:sz w:val="24"/>
          <w:szCs w:val="24"/>
        </w:rPr>
        <w:t xml:space="preserve">                                                     </w:t>
      </w:r>
      <w:r w:rsidR="00CE1E4E">
        <w:rPr>
          <w:b/>
          <w:bCs/>
          <w:noProof/>
          <w:sz w:val="24"/>
          <w:szCs w:val="24"/>
        </w:rPr>
        <w:t xml:space="preserve">        </w:t>
      </w:r>
      <w:r w:rsidR="00980630" w:rsidRPr="00AE4548">
        <w:rPr>
          <w:b/>
          <w:noProof/>
          <w:sz w:val="24"/>
        </w:rPr>
        <w:t>R</w:t>
      </w:r>
      <w:r w:rsidR="00E66605" w:rsidRPr="00AE4548">
        <w:rPr>
          <w:b/>
          <w:noProof/>
          <w:sz w:val="24"/>
        </w:rPr>
        <w:t>3</w:t>
      </w:r>
      <w:r w:rsidR="00980630" w:rsidRPr="00AE4548">
        <w:rPr>
          <w:b/>
          <w:noProof/>
          <w:sz w:val="24"/>
        </w:rPr>
        <w:t>-2</w:t>
      </w:r>
      <w:r w:rsidR="00841E29">
        <w:rPr>
          <w:b/>
          <w:noProof/>
          <w:sz w:val="24"/>
        </w:rPr>
        <w:t>3</w:t>
      </w:r>
      <w:r w:rsidR="0062078D">
        <w:rPr>
          <w:b/>
          <w:noProof/>
          <w:sz w:val="24"/>
        </w:rPr>
        <w:t>3976</w:t>
      </w:r>
    </w:p>
    <w:p w14:paraId="3C01EF9C" w14:textId="22568D3E" w:rsidR="009C0B5A" w:rsidRPr="009C0B5A" w:rsidRDefault="00486864" w:rsidP="009C0B5A">
      <w:pPr>
        <w:pStyle w:val="CRCoverPage"/>
        <w:outlineLvl w:val="0"/>
        <w:rPr>
          <w:b/>
          <w:noProof/>
          <w:sz w:val="24"/>
        </w:rPr>
      </w:pPr>
      <w:r>
        <w:rPr>
          <w:b/>
          <w:noProof/>
          <w:sz w:val="24"/>
        </w:rPr>
        <w:t xml:space="preserve">Toulouse, France, August </w:t>
      </w:r>
      <w:r w:rsidR="00CE1E4E">
        <w:rPr>
          <w:b/>
          <w:noProof/>
          <w:sz w:val="24"/>
        </w:rPr>
        <w:t>2</w:t>
      </w:r>
      <w:r>
        <w:rPr>
          <w:b/>
          <w:noProof/>
          <w:sz w:val="24"/>
        </w:rPr>
        <w:t>1</w:t>
      </w:r>
      <w:r w:rsidRPr="00486864">
        <w:rPr>
          <w:b/>
          <w:noProof/>
          <w:sz w:val="24"/>
          <w:vertAlign w:val="superscript"/>
        </w:rPr>
        <w:t>st</w:t>
      </w:r>
      <w:r>
        <w:rPr>
          <w:b/>
          <w:noProof/>
          <w:sz w:val="24"/>
        </w:rPr>
        <w:t xml:space="preserve"> </w:t>
      </w:r>
      <w:r w:rsidR="00CE1E4E">
        <w:rPr>
          <w:b/>
          <w:noProof/>
          <w:sz w:val="24"/>
        </w:rPr>
        <w:t xml:space="preserve"> – 2</w:t>
      </w:r>
      <w:r>
        <w:rPr>
          <w:b/>
          <w:noProof/>
          <w:sz w:val="24"/>
        </w:rPr>
        <w:t>5</w:t>
      </w:r>
      <w:r w:rsidR="00CE1E4E" w:rsidRPr="00CE1E4E">
        <w:rPr>
          <w:b/>
          <w:noProof/>
          <w:sz w:val="24"/>
          <w:vertAlign w:val="superscript"/>
        </w:rPr>
        <w:t>th</w:t>
      </w:r>
      <w:r w:rsidR="00A239D4" w:rsidRPr="00A239D4">
        <w:rPr>
          <w:b/>
          <w:noProof/>
          <w:sz w:val="24"/>
        </w:rPr>
        <w:t>, 202</w:t>
      </w:r>
      <w:r w:rsidR="00841E29">
        <w:rPr>
          <w:b/>
          <w:noProof/>
          <w:sz w:val="24"/>
        </w:rPr>
        <w:t>3</w:t>
      </w:r>
      <w:r w:rsidR="00AE4548">
        <w:rPr>
          <w:b/>
          <w:noProof/>
          <w:sz w:val="24"/>
        </w:rPr>
        <w:t xml:space="preserve">                             </w:t>
      </w:r>
      <w:r w:rsidR="004D7188">
        <w:rPr>
          <w:b/>
          <w:noProof/>
          <w:sz w:val="24"/>
        </w:rPr>
        <w:t>Revision of R3-23</w:t>
      </w:r>
      <w:r>
        <w:rPr>
          <w:b/>
          <w:noProof/>
          <w:sz w:val="24"/>
        </w:rPr>
        <w:t>2682</w:t>
      </w:r>
    </w:p>
    <w:p w14:paraId="3206D182" w14:textId="6F36046E" w:rsidR="004D238B" w:rsidRPr="002F6DA8" w:rsidRDefault="004D238B" w:rsidP="00841E29">
      <w:pPr>
        <w:tabs>
          <w:tab w:val="left" w:pos="1800"/>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41E29">
        <w:rPr>
          <w:rFonts w:ascii="Arial" w:hAnsi="Arial" w:cs="Arial"/>
          <w:sz w:val="24"/>
          <w:lang w:val="en-US"/>
        </w:rPr>
        <w:t>20.2</w:t>
      </w:r>
    </w:p>
    <w:p w14:paraId="4AA03D6B" w14:textId="77777777" w:rsidR="004D238B" w:rsidRPr="003639B5" w:rsidRDefault="004D238B" w:rsidP="00841E29">
      <w:pPr>
        <w:tabs>
          <w:tab w:val="left" w:pos="1800"/>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7F43D8C" w:rsidR="00317899" w:rsidRDefault="00317899" w:rsidP="00841E29">
      <w:pPr>
        <w:ind w:left="1800" w:hanging="1800"/>
        <w:jc w:val="both"/>
        <w:rPr>
          <w:rFonts w:ascii="Arial" w:hAnsi="Arial" w:cs="Arial"/>
          <w:sz w:val="22"/>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563BA1">
        <w:rPr>
          <w:rFonts w:ascii="Arial" w:hAnsi="Arial" w:cs="Arial"/>
          <w:sz w:val="22"/>
          <w:lang w:val="en-US"/>
        </w:rPr>
        <w:t>Signaling enhancements</w:t>
      </w:r>
      <w:r w:rsidR="00841E29">
        <w:rPr>
          <w:rFonts w:ascii="Arial" w:hAnsi="Arial" w:cs="Arial"/>
          <w:sz w:val="22"/>
          <w:lang w:val="en-US"/>
        </w:rPr>
        <w:t xml:space="preserve"> to enable MT-SDT for RRC_INACTIVE UEs. </w:t>
      </w:r>
    </w:p>
    <w:p w14:paraId="01DADC49" w14:textId="143078A0" w:rsidR="00841E29" w:rsidRPr="003639B5" w:rsidRDefault="00841E29" w:rsidP="00AA04B9">
      <w:pPr>
        <w:tabs>
          <w:tab w:val="left" w:pos="1985"/>
        </w:tabs>
        <w:ind w:left="1980" w:hanging="1980"/>
        <w:jc w:val="both"/>
        <w:rPr>
          <w:rFonts w:ascii="Arial" w:hAnsi="Arial" w:cs="Arial"/>
          <w:sz w:val="24"/>
          <w:szCs w:val="24"/>
          <w:lang w:val="en-US"/>
        </w:rPr>
      </w:pPr>
      <w:r>
        <w:rPr>
          <w:rFonts w:ascii="Arial" w:hAnsi="Arial" w:cs="Arial"/>
          <w:b/>
          <w:bCs/>
          <w:sz w:val="24"/>
          <w:szCs w:val="24"/>
          <w:lang w:val="en-US"/>
        </w:rPr>
        <w:t>WID:</w:t>
      </w:r>
      <w:r w:rsidRPr="00841E29">
        <w:t xml:space="preserve"> </w:t>
      </w:r>
      <w:r>
        <w:t xml:space="preserve">                          </w:t>
      </w:r>
      <w:r w:rsidRPr="00841E29">
        <w:rPr>
          <w:rFonts w:ascii="Arial" w:hAnsi="Arial" w:cs="Arial"/>
          <w:sz w:val="22"/>
          <w:lang w:val="en-US"/>
        </w:rPr>
        <w:t>Mobile Terminated-Small Data Transmission (MT-SDT) for NR</w:t>
      </w:r>
      <w:r>
        <w:rPr>
          <w:rFonts w:ascii="Arial" w:hAnsi="Arial" w:cs="Arial"/>
          <w:sz w:val="22"/>
          <w:lang w:val="en-US"/>
        </w:rPr>
        <w:t xml:space="preserve"> (NR_MT_SDT)</w:t>
      </w:r>
    </w:p>
    <w:p w14:paraId="545521D5" w14:textId="3FB0FEAC" w:rsidR="00317899" w:rsidRPr="003639B5" w:rsidRDefault="00317899" w:rsidP="00841E29">
      <w:pPr>
        <w:tabs>
          <w:tab w:val="left" w:pos="1800"/>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4E5AE456" w14:textId="190BFF14" w:rsidR="00841E29" w:rsidRDefault="00841E29" w:rsidP="00841E29">
      <w:pPr>
        <w:rPr>
          <w:rStyle w:val="Emphasis"/>
          <w:rFonts w:eastAsia="MS Mincho"/>
          <w:i w:val="0"/>
          <w:iCs w:val="0"/>
        </w:rPr>
      </w:pPr>
      <w:r>
        <w:rPr>
          <w:rStyle w:val="Emphasis"/>
          <w:rFonts w:eastAsia="MS Mincho"/>
          <w:i w:val="0"/>
          <w:iCs w:val="0"/>
        </w:rPr>
        <w:t xml:space="preserve">Following are the </w:t>
      </w:r>
      <w:r w:rsidR="000E36AD">
        <w:rPr>
          <w:rStyle w:val="Emphasis"/>
          <w:rFonts w:eastAsia="MS Mincho"/>
          <w:i w:val="0"/>
          <w:iCs w:val="0"/>
        </w:rPr>
        <w:t xml:space="preserve">agreements from RAN3#119. </w:t>
      </w:r>
    </w:p>
    <w:p w14:paraId="12BA6072"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E36AD">
        <w:rPr>
          <w:rFonts w:ascii="Calibri" w:eastAsia="MS Mincho" w:hAnsi="Calibri" w:cs="Calibri"/>
          <w:i/>
          <w:iCs/>
          <w:color w:val="00B050"/>
          <w:kern w:val="2"/>
          <w:sz w:val="16"/>
          <w:szCs w:val="16"/>
        </w:rPr>
        <w:t>MT-SDT can be triggered by DL SDT user data and/or DL SDT signalling.</w:t>
      </w:r>
    </w:p>
    <w:p w14:paraId="1312ABF7"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DengXian" w:hAnsi="Calibri" w:cs="Calibri"/>
          <w:color w:val="000000"/>
          <w:sz w:val="18"/>
        </w:rPr>
      </w:pPr>
      <w:r w:rsidRPr="000E36AD">
        <w:rPr>
          <w:rFonts w:ascii="Calibri" w:eastAsia="MS Mincho" w:hAnsi="Calibri" w:cs="Calibri"/>
          <w:i/>
          <w:iCs/>
          <w:color w:val="00B050"/>
          <w:kern w:val="2"/>
          <w:sz w:val="16"/>
          <w:szCs w:val="16"/>
        </w:rPr>
        <w:t xml:space="preserve">Upon reception of DL SDT user data, the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-CU-UP may include the assistance information (e.g., Data size) in E1AP DL Data Notification message to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-CU-CP. </w:t>
      </w:r>
      <w:r w:rsidRPr="000E36AD">
        <w:rPr>
          <w:rFonts w:ascii="Calibri" w:eastAsia="MS Mincho" w:hAnsi="Calibri" w:cs="Calibri"/>
          <w:i/>
          <w:color w:val="FF0000"/>
          <w:sz w:val="16"/>
          <w:szCs w:val="16"/>
        </w:rPr>
        <w:t>FFS on MT-SDT indicator.</w:t>
      </w:r>
    </w:p>
    <w:p w14:paraId="4E5BDF32"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E36AD">
        <w:rPr>
          <w:rFonts w:ascii="Calibri" w:eastAsia="MS Mincho" w:hAnsi="Calibri" w:cs="Calibri"/>
          <w:i/>
          <w:iCs/>
          <w:color w:val="00B050"/>
          <w:kern w:val="2"/>
          <w:sz w:val="16"/>
          <w:szCs w:val="16"/>
        </w:rPr>
        <w:t xml:space="preserve">When receiving DL SDT data, the anchor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 may send MT-SDT information IE to the neighbour </w:t>
      </w:r>
      <w:proofErr w:type="spellStart"/>
      <w:r w:rsidRPr="000E36AD">
        <w:rPr>
          <w:rFonts w:ascii="Calibri" w:eastAsia="MS Mincho" w:hAnsi="Calibri" w:cs="Calibri"/>
          <w:i/>
          <w:iCs/>
          <w:color w:val="00B050"/>
          <w:kern w:val="2"/>
          <w:sz w:val="16"/>
          <w:szCs w:val="16"/>
        </w:rPr>
        <w:t>gNBs</w:t>
      </w:r>
      <w:proofErr w:type="spellEnd"/>
      <w:r w:rsidRPr="000E36AD">
        <w:rPr>
          <w:rFonts w:ascii="Calibri" w:eastAsia="MS Mincho" w:hAnsi="Calibri" w:cs="Calibri"/>
          <w:i/>
          <w:iCs/>
          <w:color w:val="00B050"/>
          <w:kern w:val="2"/>
          <w:sz w:val="16"/>
          <w:szCs w:val="16"/>
        </w:rPr>
        <w:t xml:space="preserve"> within the RNA, via </w:t>
      </w:r>
      <w:proofErr w:type="spellStart"/>
      <w:r w:rsidRPr="000E36AD">
        <w:rPr>
          <w:rFonts w:ascii="Calibri" w:eastAsia="MS Mincho" w:hAnsi="Calibri" w:cs="Calibri"/>
          <w:i/>
          <w:iCs/>
          <w:color w:val="00B050"/>
          <w:kern w:val="2"/>
          <w:sz w:val="16"/>
          <w:szCs w:val="16"/>
        </w:rPr>
        <w:t>XnAP</w:t>
      </w:r>
      <w:proofErr w:type="spellEnd"/>
      <w:r w:rsidRPr="000E36AD">
        <w:rPr>
          <w:rFonts w:ascii="Calibri" w:eastAsia="MS Mincho" w:hAnsi="Calibri" w:cs="Calibri"/>
          <w:i/>
          <w:iCs/>
          <w:color w:val="00B050"/>
          <w:kern w:val="2"/>
          <w:sz w:val="16"/>
          <w:szCs w:val="16"/>
        </w:rPr>
        <w:t xml:space="preserve"> RAN paging message. </w:t>
      </w:r>
    </w:p>
    <w:p w14:paraId="358E7168"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0E36AD">
        <w:rPr>
          <w:rFonts w:ascii="Calibri" w:eastAsia="MS Mincho" w:hAnsi="Calibri" w:cs="Calibri"/>
          <w:i/>
          <w:color w:val="FF0000"/>
          <w:sz w:val="16"/>
          <w:szCs w:val="16"/>
        </w:rPr>
        <w:t>The encoding and the name of MT-SDT information IE is FFS.</w:t>
      </w:r>
    </w:p>
    <w:p w14:paraId="34A1805E"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E36AD">
        <w:rPr>
          <w:rFonts w:ascii="Calibri" w:eastAsia="MS Mincho" w:hAnsi="Calibri" w:cs="Calibri"/>
          <w:i/>
          <w:iCs/>
          <w:color w:val="00B050"/>
          <w:kern w:val="2"/>
          <w:sz w:val="16"/>
          <w:szCs w:val="16"/>
        </w:rPr>
        <w:t xml:space="preserve">The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 that receives MT-SDT information within the RNA </w:t>
      </w:r>
      <w:proofErr w:type="gramStart"/>
      <w:r w:rsidRPr="000E36AD">
        <w:rPr>
          <w:rFonts w:ascii="Calibri" w:eastAsia="MS Mincho" w:hAnsi="Calibri" w:cs="Calibri"/>
          <w:i/>
          <w:iCs/>
          <w:color w:val="00B050"/>
          <w:kern w:val="2"/>
          <w:sz w:val="16"/>
          <w:szCs w:val="16"/>
        </w:rPr>
        <w:t>takes into account</w:t>
      </w:r>
      <w:proofErr w:type="gramEnd"/>
      <w:r w:rsidRPr="000E36AD">
        <w:rPr>
          <w:rFonts w:ascii="Calibri" w:eastAsia="MS Mincho" w:hAnsi="Calibri" w:cs="Calibri"/>
          <w:i/>
          <w:iCs/>
          <w:color w:val="00B050"/>
          <w:kern w:val="2"/>
          <w:sz w:val="16"/>
          <w:szCs w:val="16"/>
        </w:rPr>
        <w:t xml:space="preserve"> this information received in the </w:t>
      </w:r>
      <w:proofErr w:type="spellStart"/>
      <w:r w:rsidRPr="000E36AD">
        <w:rPr>
          <w:rFonts w:ascii="Calibri" w:eastAsia="MS Mincho" w:hAnsi="Calibri" w:cs="Calibri"/>
          <w:i/>
          <w:iCs/>
          <w:color w:val="00B050"/>
          <w:kern w:val="2"/>
          <w:sz w:val="16"/>
          <w:szCs w:val="16"/>
        </w:rPr>
        <w:t>XnAP</w:t>
      </w:r>
      <w:proofErr w:type="spellEnd"/>
      <w:r w:rsidRPr="000E36AD">
        <w:rPr>
          <w:rFonts w:ascii="Calibri" w:eastAsia="MS Mincho" w:hAnsi="Calibri" w:cs="Calibri"/>
          <w:i/>
          <w:iCs/>
          <w:color w:val="00B050"/>
          <w:kern w:val="2"/>
          <w:sz w:val="16"/>
          <w:szCs w:val="16"/>
        </w:rPr>
        <w:t xml:space="preserve"> RAN PAGING message from the anchor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 to decide whether to trigger MT-SDT </w:t>
      </w:r>
      <w:proofErr w:type="spellStart"/>
      <w:r w:rsidRPr="000E36AD">
        <w:rPr>
          <w:rFonts w:ascii="Calibri" w:eastAsia="MS Mincho" w:hAnsi="Calibri" w:cs="Calibri"/>
          <w:i/>
          <w:iCs/>
          <w:color w:val="00B050"/>
          <w:kern w:val="2"/>
          <w:sz w:val="16"/>
          <w:szCs w:val="16"/>
        </w:rPr>
        <w:t>Uu</w:t>
      </w:r>
      <w:proofErr w:type="spellEnd"/>
      <w:r w:rsidRPr="000E36AD">
        <w:rPr>
          <w:rFonts w:ascii="Calibri" w:eastAsia="MS Mincho" w:hAnsi="Calibri" w:cs="Calibri"/>
          <w:i/>
          <w:iCs/>
          <w:color w:val="00B050"/>
          <w:kern w:val="2"/>
          <w:sz w:val="16"/>
          <w:szCs w:val="16"/>
        </w:rPr>
        <w:t xml:space="preserve"> paging. </w:t>
      </w:r>
    </w:p>
    <w:p w14:paraId="32C66AF8"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0E36AD">
        <w:rPr>
          <w:rFonts w:ascii="Calibri" w:eastAsia="MS Mincho" w:hAnsi="Calibri" w:cs="Calibri"/>
          <w:i/>
          <w:iCs/>
          <w:color w:val="00B050"/>
          <w:kern w:val="2"/>
          <w:sz w:val="16"/>
          <w:szCs w:val="16"/>
        </w:rPr>
        <w:t xml:space="preserve">Upon reception of MT-SDT information via </w:t>
      </w:r>
      <w:proofErr w:type="spellStart"/>
      <w:r w:rsidRPr="000E36AD">
        <w:rPr>
          <w:rFonts w:ascii="Calibri" w:eastAsia="MS Mincho" w:hAnsi="Calibri" w:cs="Calibri"/>
          <w:i/>
          <w:iCs/>
          <w:color w:val="00B050"/>
          <w:kern w:val="2"/>
          <w:sz w:val="16"/>
          <w:szCs w:val="16"/>
        </w:rPr>
        <w:t>XnAP</w:t>
      </w:r>
      <w:proofErr w:type="spellEnd"/>
      <w:r w:rsidRPr="000E36AD">
        <w:rPr>
          <w:rFonts w:ascii="Calibri" w:eastAsia="MS Mincho" w:hAnsi="Calibri" w:cs="Calibri"/>
          <w:i/>
          <w:iCs/>
          <w:color w:val="00B050"/>
          <w:kern w:val="2"/>
          <w:sz w:val="16"/>
          <w:szCs w:val="16"/>
        </w:rPr>
        <w:t xml:space="preserve"> RAN paging message from the anchor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-CU, the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-CU may send F1 MT-SDT information to the </w:t>
      </w:r>
      <w:proofErr w:type="spellStart"/>
      <w:r w:rsidRPr="000E36AD">
        <w:rPr>
          <w:rFonts w:ascii="Calibri" w:eastAsia="MS Mincho" w:hAnsi="Calibri" w:cs="Calibri"/>
          <w:i/>
          <w:iCs/>
          <w:color w:val="00B050"/>
          <w:kern w:val="2"/>
          <w:sz w:val="16"/>
          <w:szCs w:val="16"/>
        </w:rPr>
        <w:t>gNB</w:t>
      </w:r>
      <w:proofErr w:type="spellEnd"/>
      <w:r w:rsidRPr="000E36AD">
        <w:rPr>
          <w:rFonts w:ascii="Calibri" w:eastAsia="MS Mincho" w:hAnsi="Calibri" w:cs="Calibri"/>
          <w:i/>
          <w:iCs/>
          <w:color w:val="00B050"/>
          <w:kern w:val="2"/>
          <w:sz w:val="16"/>
          <w:szCs w:val="16"/>
        </w:rPr>
        <w:t xml:space="preserve">-DU via F1AP Paging message. </w:t>
      </w:r>
    </w:p>
    <w:p w14:paraId="12F3083C" w14:textId="77777777"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0E36AD">
        <w:rPr>
          <w:rFonts w:ascii="Calibri" w:eastAsia="MS Mincho" w:hAnsi="Calibri" w:cs="Calibri"/>
          <w:i/>
          <w:color w:val="FF0000"/>
          <w:sz w:val="16"/>
          <w:szCs w:val="16"/>
        </w:rPr>
        <w:t xml:space="preserve">FFS on F1AP MT-SDT </w:t>
      </w:r>
      <w:proofErr w:type="gramStart"/>
      <w:r w:rsidRPr="000E36AD">
        <w:rPr>
          <w:rFonts w:ascii="Calibri" w:eastAsia="MS Mincho" w:hAnsi="Calibri" w:cs="Calibri"/>
          <w:i/>
          <w:color w:val="FF0000"/>
          <w:sz w:val="16"/>
          <w:szCs w:val="16"/>
        </w:rPr>
        <w:t>information</w:t>
      </w:r>
      <w:proofErr w:type="gramEnd"/>
      <w:r w:rsidRPr="000E36AD">
        <w:rPr>
          <w:rFonts w:ascii="Calibri" w:eastAsia="MS Mincho" w:hAnsi="Calibri" w:cs="Calibri"/>
          <w:i/>
          <w:color w:val="FF0000"/>
          <w:sz w:val="16"/>
          <w:szCs w:val="16"/>
        </w:rPr>
        <w:t xml:space="preserve"> </w:t>
      </w:r>
    </w:p>
    <w:p w14:paraId="56A58CD8" w14:textId="273AB9B4"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0E36AD">
        <w:rPr>
          <w:rFonts w:ascii="Calibri" w:eastAsia="MS Mincho" w:hAnsi="Calibri" w:cs="Calibri"/>
          <w:i/>
          <w:color w:val="FF0000"/>
          <w:sz w:val="16"/>
          <w:szCs w:val="16"/>
        </w:rPr>
        <w:t>FFS: whether Data volume should also be provided from the CU to the DU in F1AP PAGING message.</w:t>
      </w:r>
    </w:p>
    <w:p w14:paraId="281915F6" w14:textId="77777777" w:rsidR="000E36AD" w:rsidRPr="002B2396"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2B2396">
        <w:rPr>
          <w:rFonts w:ascii="Calibri" w:eastAsia="MS Mincho" w:hAnsi="Calibri" w:cs="Calibri"/>
          <w:i/>
          <w:color w:val="FF0000"/>
          <w:sz w:val="16"/>
          <w:szCs w:val="16"/>
        </w:rPr>
        <w:t xml:space="preserve">FFS: whether and how </w:t>
      </w:r>
      <w:proofErr w:type="spellStart"/>
      <w:r w:rsidRPr="002B2396">
        <w:rPr>
          <w:rFonts w:ascii="Calibri" w:eastAsia="MS Mincho" w:hAnsi="Calibri" w:cs="Calibri"/>
          <w:i/>
          <w:color w:val="FF0000"/>
          <w:sz w:val="16"/>
          <w:szCs w:val="16"/>
        </w:rPr>
        <w:t>XnAP</w:t>
      </w:r>
      <w:proofErr w:type="spellEnd"/>
      <w:r w:rsidRPr="002B2396">
        <w:rPr>
          <w:rFonts w:ascii="Calibri" w:eastAsia="MS Mincho" w:hAnsi="Calibri" w:cs="Calibri"/>
          <w:i/>
          <w:color w:val="FF0000"/>
          <w:sz w:val="16"/>
          <w:szCs w:val="16"/>
        </w:rPr>
        <w:t xml:space="preserve"> RTRV UE CTXT REQ message (that carries MT-SDT resume indication)</w:t>
      </w:r>
    </w:p>
    <w:p w14:paraId="656C34FD" w14:textId="77777777" w:rsidR="000E36AD" w:rsidRPr="002B2396"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2B2396">
        <w:rPr>
          <w:rFonts w:ascii="Calibri" w:eastAsia="MS Mincho" w:hAnsi="Calibri" w:cs="Calibri"/>
          <w:i/>
          <w:color w:val="FF0000"/>
          <w:sz w:val="16"/>
          <w:szCs w:val="16"/>
        </w:rPr>
        <w:t xml:space="preserve">FFS: whether MT-SDT support indication in E1 Bearer Context procedure should be defined to enable the </w:t>
      </w:r>
      <w:proofErr w:type="spellStart"/>
      <w:r w:rsidRPr="002B2396">
        <w:rPr>
          <w:rFonts w:ascii="Calibri" w:eastAsia="MS Mincho" w:hAnsi="Calibri" w:cs="Calibri"/>
          <w:i/>
          <w:color w:val="FF0000"/>
          <w:sz w:val="16"/>
          <w:szCs w:val="16"/>
        </w:rPr>
        <w:t>gNB</w:t>
      </w:r>
      <w:proofErr w:type="spellEnd"/>
      <w:r w:rsidRPr="002B2396">
        <w:rPr>
          <w:rFonts w:ascii="Calibri" w:eastAsia="MS Mincho" w:hAnsi="Calibri" w:cs="Calibri"/>
          <w:i/>
          <w:color w:val="FF0000"/>
          <w:sz w:val="16"/>
          <w:szCs w:val="16"/>
        </w:rPr>
        <w:t>-CU-UP to include the DL data size in the E1AP DL DATA NOTIFICATION message.</w:t>
      </w:r>
    </w:p>
    <w:p w14:paraId="0339B7B7" w14:textId="2860340C" w:rsidR="000E36AD" w:rsidRPr="002B2396"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2B2396">
        <w:rPr>
          <w:rFonts w:ascii="Calibri" w:eastAsia="MS Mincho" w:hAnsi="Calibri" w:cs="Calibri"/>
          <w:i/>
          <w:color w:val="FF0000"/>
          <w:sz w:val="16"/>
          <w:szCs w:val="16"/>
        </w:rPr>
        <w:t xml:space="preserve">FFS: whether receiving </w:t>
      </w:r>
      <w:proofErr w:type="spellStart"/>
      <w:r w:rsidRPr="002B2396">
        <w:rPr>
          <w:rFonts w:ascii="Calibri" w:eastAsia="MS Mincho" w:hAnsi="Calibri" w:cs="Calibri"/>
          <w:i/>
          <w:color w:val="FF0000"/>
          <w:sz w:val="16"/>
          <w:szCs w:val="16"/>
        </w:rPr>
        <w:t>gNB</w:t>
      </w:r>
      <w:proofErr w:type="spellEnd"/>
      <w:r w:rsidRPr="002B2396">
        <w:rPr>
          <w:rFonts w:ascii="Calibri" w:eastAsia="MS Mincho" w:hAnsi="Calibri" w:cs="Calibri"/>
          <w:i/>
          <w:color w:val="FF0000"/>
          <w:sz w:val="16"/>
          <w:szCs w:val="16"/>
        </w:rPr>
        <w:t>-CU or rece</w:t>
      </w:r>
      <w:r>
        <w:rPr>
          <w:rFonts w:ascii="Calibri" w:eastAsia="MS Mincho" w:hAnsi="Calibri" w:cs="Calibri"/>
          <w:i/>
          <w:color w:val="FF0000"/>
          <w:sz w:val="16"/>
          <w:szCs w:val="16"/>
        </w:rPr>
        <w:t>i</w:t>
      </w:r>
      <w:r w:rsidRPr="002B2396">
        <w:rPr>
          <w:rFonts w:ascii="Calibri" w:eastAsia="MS Mincho" w:hAnsi="Calibri" w:cs="Calibri"/>
          <w:i/>
          <w:color w:val="FF0000"/>
          <w:sz w:val="16"/>
          <w:szCs w:val="16"/>
        </w:rPr>
        <w:t xml:space="preserve">ving </w:t>
      </w:r>
      <w:proofErr w:type="spellStart"/>
      <w:r w:rsidRPr="002B2396">
        <w:rPr>
          <w:rFonts w:ascii="Calibri" w:eastAsia="MS Mincho" w:hAnsi="Calibri" w:cs="Calibri"/>
          <w:i/>
          <w:color w:val="FF0000"/>
          <w:sz w:val="16"/>
          <w:szCs w:val="16"/>
        </w:rPr>
        <w:t>gNB</w:t>
      </w:r>
      <w:proofErr w:type="spellEnd"/>
      <w:r w:rsidRPr="002B2396">
        <w:rPr>
          <w:rFonts w:ascii="Calibri" w:eastAsia="MS Mincho" w:hAnsi="Calibri" w:cs="Calibri"/>
          <w:i/>
          <w:color w:val="FF0000"/>
          <w:sz w:val="16"/>
          <w:szCs w:val="16"/>
        </w:rPr>
        <w:t xml:space="preserve">-DU decides MT-SDT </w:t>
      </w:r>
      <w:proofErr w:type="spellStart"/>
      <w:r w:rsidRPr="002B2396">
        <w:rPr>
          <w:rFonts w:ascii="Calibri" w:eastAsia="MS Mincho" w:hAnsi="Calibri" w:cs="Calibri"/>
          <w:i/>
          <w:color w:val="FF0000"/>
          <w:sz w:val="16"/>
          <w:szCs w:val="16"/>
        </w:rPr>
        <w:t>Uu</w:t>
      </w:r>
      <w:proofErr w:type="spellEnd"/>
      <w:r w:rsidRPr="002B2396">
        <w:rPr>
          <w:rFonts w:ascii="Calibri" w:eastAsia="MS Mincho" w:hAnsi="Calibri" w:cs="Calibri"/>
          <w:i/>
          <w:color w:val="FF0000"/>
          <w:sz w:val="16"/>
          <w:szCs w:val="16"/>
        </w:rPr>
        <w:t xml:space="preserve"> paging, if we agree that it is the rece</w:t>
      </w:r>
      <w:r>
        <w:rPr>
          <w:rFonts w:ascii="Calibri" w:eastAsia="MS Mincho" w:hAnsi="Calibri" w:cs="Calibri"/>
          <w:i/>
          <w:color w:val="FF0000"/>
          <w:sz w:val="16"/>
          <w:szCs w:val="16"/>
        </w:rPr>
        <w:t>i</w:t>
      </w:r>
      <w:r w:rsidRPr="002B2396">
        <w:rPr>
          <w:rFonts w:ascii="Calibri" w:eastAsia="MS Mincho" w:hAnsi="Calibri" w:cs="Calibri"/>
          <w:i/>
          <w:color w:val="FF0000"/>
          <w:sz w:val="16"/>
          <w:szCs w:val="16"/>
        </w:rPr>
        <w:t xml:space="preserve">ving </w:t>
      </w:r>
      <w:proofErr w:type="spellStart"/>
      <w:r w:rsidRPr="002B2396">
        <w:rPr>
          <w:rFonts w:ascii="Calibri" w:eastAsia="MS Mincho" w:hAnsi="Calibri" w:cs="Calibri"/>
          <w:i/>
          <w:color w:val="FF0000"/>
          <w:sz w:val="16"/>
          <w:szCs w:val="16"/>
        </w:rPr>
        <w:t>gNB</w:t>
      </w:r>
      <w:proofErr w:type="spellEnd"/>
      <w:r w:rsidRPr="002B2396">
        <w:rPr>
          <w:rFonts w:ascii="Calibri" w:eastAsia="MS Mincho" w:hAnsi="Calibri" w:cs="Calibri"/>
          <w:i/>
          <w:color w:val="FF0000"/>
          <w:sz w:val="16"/>
          <w:szCs w:val="16"/>
        </w:rPr>
        <w:t xml:space="preserve"> to make the final decision on triggering MT-SDT </w:t>
      </w:r>
      <w:proofErr w:type="spellStart"/>
      <w:r w:rsidRPr="002B2396">
        <w:rPr>
          <w:rFonts w:ascii="Calibri" w:eastAsia="MS Mincho" w:hAnsi="Calibri" w:cs="Calibri"/>
          <w:i/>
          <w:color w:val="FF0000"/>
          <w:sz w:val="16"/>
          <w:szCs w:val="16"/>
        </w:rPr>
        <w:t>Uu</w:t>
      </w:r>
      <w:proofErr w:type="spellEnd"/>
      <w:r w:rsidRPr="002B2396">
        <w:rPr>
          <w:rFonts w:ascii="Calibri" w:eastAsia="MS Mincho" w:hAnsi="Calibri" w:cs="Calibri"/>
          <w:i/>
          <w:color w:val="FF0000"/>
          <w:sz w:val="16"/>
          <w:szCs w:val="16"/>
        </w:rPr>
        <w:t xml:space="preserve"> paging.</w:t>
      </w:r>
    </w:p>
    <w:p w14:paraId="0BA97AAF" w14:textId="584986E0" w:rsidR="000E36AD" w:rsidRPr="000E36AD" w:rsidRDefault="000E36AD" w:rsidP="000E36AD">
      <w:pPr>
        <w:pStyle w:val="ListParagraph"/>
        <w:numPr>
          <w:ilvl w:val="0"/>
          <w:numId w:val="27"/>
        </w:numPr>
        <w:pBdr>
          <w:top w:val="single" w:sz="4" w:space="1" w:color="auto"/>
          <w:left w:val="single" w:sz="4" w:space="4" w:color="auto"/>
          <w:bottom w:val="single" w:sz="4" w:space="1" w:color="auto"/>
          <w:right w:val="single" w:sz="4" w:space="4" w:color="auto"/>
        </w:pBdr>
        <w:rPr>
          <w:rFonts w:ascii="Calibri" w:eastAsia="MS Mincho" w:hAnsi="Calibri" w:cs="Calibri"/>
          <w:iCs/>
          <w:color w:val="FF0000"/>
          <w:sz w:val="16"/>
          <w:szCs w:val="16"/>
        </w:rPr>
      </w:pPr>
      <w:r w:rsidRPr="000E36AD">
        <w:rPr>
          <w:rFonts w:ascii="Calibri" w:eastAsia="MS Mincho" w:hAnsi="Calibri" w:cs="Calibri"/>
          <w:i/>
          <w:color w:val="FF0000"/>
          <w:sz w:val="16"/>
          <w:szCs w:val="16"/>
        </w:rPr>
        <w:t xml:space="preserve">FFS: MT-SDT assistance information sent from the anchor in the </w:t>
      </w:r>
      <w:proofErr w:type="spellStart"/>
      <w:r w:rsidRPr="000E36AD">
        <w:rPr>
          <w:rFonts w:ascii="Calibri" w:eastAsia="MS Mincho" w:hAnsi="Calibri" w:cs="Calibri"/>
          <w:i/>
          <w:color w:val="FF0000"/>
          <w:sz w:val="16"/>
          <w:szCs w:val="16"/>
        </w:rPr>
        <w:t>XnAP</w:t>
      </w:r>
      <w:proofErr w:type="spellEnd"/>
      <w:r w:rsidRPr="000E36AD">
        <w:rPr>
          <w:rFonts w:ascii="Calibri" w:eastAsia="MS Mincho" w:hAnsi="Calibri" w:cs="Calibri"/>
          <w:i/>
          <w:color w:val="FF0000"/>
          <w:sz w:val="16"/>
          <w:szCs w:val="16"/>
        </w:rPr>
        <w:t>: RAN paging message and other alignment with RAN2 progress.</w:t>
      </w:r>
    </w:p>
    <w:p w14:paraId="18D5AB60" w14:textId="60054CFF" w:rsidR="00C113DD" w:rsidRPr="00C113DD" w:rsidRDefault="00C113DD" w:rsidP="00C113DD">
      <w:pPr>
        <w:rPr>
          <w:rStyle w:val="Emphasis"/>
          <w:rFonts w:eastAsia="MS Mincho"/>
          <w:i w:val="0"/>
          <w:iCs w:val="0"/>
        </w:rPr>
      </w:pPr>
      <w:r w:rsidRPr="00C113DD">
        <w:rPr>
          <w:rStyle w:val="Emphasis"/>
          <w:rFonts w:eastAsia="MS Mincho"/>
          <w:i w:val="0"/>
          <w:iCs w:val="0"/>
        </w:rPr>
        <w:t>Following are the agreements from RAN3#119</w:t>
      </w:r>
      <w:r>
        <w:rPr>
          <w:rStyle w:val="Emphasis"/>
          <w:rFonts w:eastAsia="MS Mincho"/>
          <w:i w:val="0"/>
          <w:iCs w:val="0"/>
        </w:rPr>
        <w:t>bis</w:t>
      </w:r>
      <w:r w:rsidRPr="00C113DD">
        <w:rPr>
          <w:rStyle w:val="Emphasis"/>
          <w:rFonts w:eastAsia="MS Mincho"/>
          <w:i w:val="0"/>
          <w:iCs w:val="0"/>
        </w:rPr>
        <w:t xml:space="preserve">. </w:t>
      </w:r>
    </w:p>
    <w:p w14:paraId="17433A0B" w14:textId="77777777" w:rsidR="00C113DD" w:rsidRPr="00417556" w:rsidRDefault="00C113DD" w:rsidP="00C113DD">
      <w:pPr>
        <w:pStyle w:val="ListParagraph3"/>
        <w:numPr>
          <w:ilvl w:val="0"/>
          <w:numId w:val="31"/>
        </w:numPr>
        <w:pBdr>
          <w:top w:val="single" w:sz="4" w:space="1" w:color="auto"/>
          <w:left w:val="single" w:sz="4" w:space="4" w:color="auto"/>
          <w:bottom w:val="single" w:sz="4" w:space="1" w:color="auto"/>
          <w:right w:val="single" w:sz="4" w:space="4" w:color="auto"/>
        </w:pBdr>
        <w:spacing w:after="240"/>
        <w:rPr>
          <w:rFonts w:ascii="Calibri" w:eastAsia="MS Mincho" w:hAnsi="Calibri" w:cs="Calibri"/>
          <w:i/>
          <w:iCs/>
          <w:color w:val="00B050"/>
          <w:kern w:val="2"/>
          <w:sz w:val="16"/>
          <w:szCs w:val="16"/>
        </w:rPr>
      </w:pPr>
      <w:r w:rsidRPr="00417556">
        <w:rPr>
          <w:rFonts w:ascii="Calibri" w:eastAsia="MS Mincho" w:hAnsi="Calibri" w:cs="Calibri"/>
          <w:i/>
          <w:iCs/>
          <w:color w:val="00B050"/>
          <w:kern w:val="2"/>
          <w:sz w:val="16"/>
          <w:szCs w:val="16"/>
        </w:rPr>
        <w:t xml:space="preserve">Agree to reusing existing IE (i.e., SDT Support Request) within the </w:t>
      </w:r>
      <w:proofErr w:type="spellStart"/>
      <w:r w:rsidRPr="00417556">
        <w:rPr>
          <w:rFonts w:ascii="Calibri" w:eastAsia="MS Mincho" w:hAnsi="Calibri" w:cs="Calibri"/>
          <w:i/>
          <w:iCs/>
          <w:color w:val="00B050"/>
          <w:kern w:val="2"/>
          <w:sz w:val="16"/>
          <w:szCs w:val="16"/>
        </w:rPr>
        <w:t>XnAP</w:t>
      </w:r>
      <w:proofErr w:type="spellEnd"/>
      <w:r w:rsidRPr="00417556">
        <w:rPr>
          <w:rFonts w:ascii="Calibri" w:eastAsia="MS Mincho" w:hAnsi="Calibri" w:cs="Calibri"/>
          <w:i/>
          <w:iCs/>
          <w:color w:val="00B050"/>
          <w:kern w:val="2"/>
          <w:sz w:val="16"/>
          <w:szCs w:val="16"/>
        </w:rPr>
        <w:t xml:space="preserve"> Retrieve Context Request message when the UE resumes for MT-SDT, and there is no RAN3 standard impact.</w:t>
      </w:r>
    </w:p>
    <w:p w14:paraId="0916688E" w14:textId="77777777" w:rsidR="00C113DD" w:rsidRPr="00417556" w:rsidRDefault="00C113DD" w:rsidP="00C113DD">
      <w:pPr>
        <w:pStyle w:val="ListParagraph3"/>
        <w:numPr>
          <w:ilvl w:val="0"/>
          <w:numId w:val="31"/>
        </w:numPr>
        <w:pBdr>
          <w:top w:val="single" w:sz="4" w:space="1" w:color="auto"/>
          <w:left w:val="single" w:sz="4" w:space="4" w:color="auto"/>
          <w:bottom w:val="single" w:sz="4" w:space="1" w:color="auto"/>
          <w:right w:val="single" w:sz="4" w:space="4" w:color="auto"/>
        </w:pBdr>
        <w:spacing w:after="240"/>
        <w:rPr>
          <w:rFonts w:ascii="Calibri" w:eastAsia="MS Mincho" w:hAnsi="Calibri" w:cs="Calibri"/>
          <w:i/>
          <w:iCs/>
          <w:color w:val="00B050"/>
          <w:kern w:val="2"/>
          <w:sz w:val="16"/>
          <w:szCs w:val="16"/>
        </w:rPr>
      </w:pPr>
      <w:r w:rsidRPr="00417556">
        <w:rPr>
          <w:rFonts w:ascii="Calibri" w:eastAsia="MS Mincho" w:hAnsi="Calibri" w:cs="Calibri"/>
          <w:i/>
          <w:iCs/>
          <w:color w:val="00B050"/>
          <w:kern w:val="2"/>
          <w:sz w:val="16"/>
          <w:szCs w:val="16"/>
        </w:rPr>
        <w:t>Include an MT-SDT Information Request IE as optional IE in the E1AP: BEARER CONTEXT SETUP REQUEST/ MODIFICATION message to request the report of MT-SDT Information for bearers configured as SDT bearers.</w:t>
      </w:r>
    </w:p>
    <w:p w14:paraId="3BB5B7AC" w14:textId="77777777" w:rsidR="00C113DD" w:rsidRPr="00F70817" w:rsidRDefault="00C113DD" w:rsidP="00C113DD">
      <w:pPr>
        <w:pStyle w:val="ListParagraph3"/>
        <w:numPr>
          <w:ilvl w:val="0"/>
          <w:numId w:val="31"/>
        </w:numPr>
        <w:pBdr>
          <w:top w:val="single" w:sz="4" w:space="1" w:color="auto"/>
          <w:left w:val="single" w:sz="4" w:space="4" w:color="auto"/>
          <w:bottom w:val="single" w:sz="4" w:space="1" w:color="auto"/>
          <w:right w:val="single" w:sz="4" w:space="4" w:color="auto"/>
        </w:pBdr>
        <w:spacing w:after="240"/>
        <w:rPr>
          <w:rFonts w:ascii="Calibri" w:eastAsia="MS Mincho" w:hAnsi="Calibri" w:cs="Calibri"/>
          <w:i/>
          <w:iCs/>
          <w:color w:val="00B050"/>
          <w:kern w:val="2"/>
          <w:sz w:val="16"/>
          <w:szCs w:val="16"/>
          <w:highlight w:val="yellow"/>
        </w:rPr>
      </w:pPr>
      <w:r w:rsidRPr="00F70817">
        <w:rPr>
          <w:rFonts w:ascii="Calibri" w:eastAsia="MS Mincho" w:hAnsi="Calibri" w:cs="Calibri"/>
          <w:i/>
          <w:iCs/>
          <w:color w:val="00B050"/>
          <w:kern w:val="2"/>
          <w:sz w:val="16"/>
          <w:szCs w:val="16"/>
          <w:highlight w:val="yellow"/>
        </w:rPr>
        <w:t>For the issue on DL non-SDT data arrives during the ongoing MT-SDT procedure, RAN3 waits for RAN2 on whether any signaling enhancements are needed.</w:t>
      </w:r>
    </w:p>
    <w:p w14:paraId="45542224" w14:textId="77777777" w:rsidR="00C113DD" w:rsidRPr="00C6598B" w:rsidRDefault="00C113DD" w:rsidP="00C113DD">
      <w:pPr>
        <w:pStyle w:val="ListParagraph3"/>
        <w:numPr>
          <w:ilvl w:val="0"/>
          <w:numId w:val="31"/>
        </w:numPr>
        <w:pBdr>
          <w:top w:val="single" w:sz="4" w:space="1" w:color="auto"/>
          <w:left w:val="single" w:sz="4" w:space="4" w:color="auto"/>
          <w:bottom w:val="single" w:sz="4" w:space="1" w:color="auto"/>
          <w:right w:val="single" w:sz="4" w:space="4" w:color="auto"/>
        </w:pBdr>
        <w:spacing w:after="240"/>
        <w:rPr>
          <w:rFonts w:ascii="Calibri" w:hAnsi="Calibri" w:cs="Calibri"/>
          <w:b/>
          <w:color w:val="008000"/>
          <w:sz w:val="18"/>
        </w:rPr>
      </w:pPr>
      <w:r w:rsidRPr="00417556">
        <w:rPr>
          <w:rFonts w:ascii="Calibri" w:eastAsia="MS Mincho" w:hAnsi="Calibri" w:cs="Calibri"/>
          <w:i/>
          <w:iCs/>
          <w:color w:val="00B050"/>
          <w:kern w:val="2"/>
          <w:sz w:val="16"/>
          <w:szCs w:val="16"/>
        </w:rPr>
        <w:t xml:space="preserve">RAN3 acknowledges the case that DL non-SDT data arrives at the last serving </w:t>
      </w:r>
      <w:proofErr w:type="spellStart"/>
      <w:r w:rsidRPr="00417556">
        <w:rPr>
          <w:rFonts w:ascii="Calibri" w:eastAsia="MS Mincho" w:hAnsi="Calibri" w:cs="Calibri"/>
          <w:i/>
          <w:iCs/>
          <w:color w:val="00B050"/>
          <w:kern w:val="2"/>
          <w:sz w:val="16"/>
          <w:szCs w:val="16"/>
        </w:rPr>
        <w:t>gNB</w:t>
      </w:r>
      <w:proofErr w:type="spellEnd"/>
      <w:r w:rsidRPr="00417556">
        <w:rPr>
          <w:rFonts w:ascii="Calibri" w:eastAsia="MS Mincho" w:hAnsi="Calibri" w:cs="Calibri"/>
          <w:i/>
          <w:iCs/>
          <w:color w:val="00B050"/>
          <w:kern w:val="2"/>
          <w:sz w:val="16"/>
          <w:szCs w:val="16"/>
        </w:rPr>
        <w:t xml:space="preserve"> following the MT-SDT paging procedure before receiving UE Context Retrieval Request message</w:t>
      </w:r>
      <w:r>
        <w:rPr>
          <w:rFonts w:ascii="Calibri" w:eastAsia="MS Mincho" w:hAnsi="Calibri" w:cs="Calibri"/>
          <w:i/>
          <w:iCs/>
          <w:color w:val="00B050"/>
          <w:kern w:val="2"/>
          <w:sz w:val="16"/>
          <w:szCs w:val="16"/>
        </w:rPr>
        <w:t>.</w:t>
      </w:r>
      <w:r w:rsidRPr="00417556">
        <w:rPr>
          <w:rFonts w:ascii="Calibri" w:eastAsia="MS Mincho" w:hAnsi="Calibri" w:cs="Calibri"/>
          <w:i/>
          <w:color w:val="FF0000"/>
          <w:sz w:val="16"/>
          <w:szCs w:val="16"/>
          <w:lang w:eastAsia="en-US"/>
        </w:rPr>
        <w:t xml:space="preserve"> It is FFS whether it is left to </w:t>
      </w:r>
      <w:proofErr w:type="spellStart"/>
      <w:r w:rsidRPr="00417556">
        <w:rPr>
          <w:rFonts w:ascii="Calibri" w:eastAsia="MS Mincho" w:hAnsi="Calibri" w:cs="Calibri"/>
          <w:i/>
          <w:color w:val="FF0000"/>
          <w:sz w:val="16"/>
          <w:szCs w:val="16"/>
          <w:lang w:eastAsia="en-US"/>
        </w:rPr>
        <w:t>gNB</w:t>
      </w:r>
      <w:proofErr w:type="spellEnd"/>
      <w:r w:rsidRPr="00417556">
        <w:rPr>
          <w:rFonts w:ascii="Calibri" w:eastAsia="MS Mincho" w:hAnsi="Calibri" w:cs="Calibri"/>
          <w:i/>
          <w:color w:val="FF0000"/>
          <w:sz w:val="16"/>
          <w:szCs w:val="16"/>
          <w:lang w:eastAsia="en-US"/>
        </w:rPr>
        <w:t xml:space="preserve"> implementation, or reusing existing IE(s), or introducing a new IE. </w:t>
      </w:r>
    </w:p>
    <w:p w14:paraId="47AEA50E" w14:textId="77777777" w:rsidR="00C113DD" w:rsidRPr="00C6598B" w:rsidRDefault="00C113DD" w:rsidP="00C113DD">
      <w:pPr>
        <w:pStyle w:val="ListParagraph3"/>
        <w:numPr>
          <w:ilvl w:val="0"/>
          <w:numId w:val="31"/>
        </w:numPr>
        <w:pBdr>
          <w:top w:val="single" w:sz="4" w:space="1" w:color="auto"/>
          <w:left w:val="single" w:sz="4" w:space="4" w:color="auto"/>
          <w:bottom w:val="single" w:sz="4" w:space="1" w:color="auto"/>
          <w:right w:val="single" w:sz="4" w:space="4" w:color="auto"/>
        </w:pBdr>
        <w:spacing w:after="240"/>
        <w:rPr>
          <w:rFonts w:ascii="Calibri" w:hAnsi="Calibri" w:cs="Calibri"/>
          <w:b/>
          <w:color w:val="0000FF"/>
          <w:sz w:val="18"/>
        </w:rPr>
      </w:pPr>
      <w:r w:rsidRPr="00417556">
        <w:rPr>
          <w:rFonts w:ascii="Calibri" w:eastAsia="MS Mincho" w:hAnsi="Calibri" w:cs="Calibri"/>
          <w:i/>
          <w:iCs/>
          <w:color w:val="00B050"/>
          <w:kern w:val="2"/>
          <w:sz w:val="16"/>
          <w:szCs w:val="16"/>
        </w:rPr>
        <w:t xml:space="preserve">In </w:t>
      </w:r>
      <w:proofErr w:type="spellStart"/>
      <w:r w:rsidRPr="00417556">
        <w:rPr>
          <w:rFonts w:ascii="Calibri" w:eastAsia="MS Mincho" w:hAnsi="Calibri" w:cs="Calibri"/>
          <w:i/>
          <w:iCs/>
          <w:color w:val="00B050"/>
          <w:kern w:val="2"/>
          <w:sz w:val="16"/>
          <w:szCs w:val="16"/>
        </w:rPr>
        <w:t>XnAP</w:t>
      </w:r>
      <w:proofErr w:type="spellEnd"/>
      <w:r w:rsidRPr="00417556">
        <w:rPr>
          <w:rFonts w:ascii="Calibri" w:eastAsia="MS Mincho" w:hAnsi="Calibri" w:cs="Calibri"/>
          <w:i/>
          <w:iCs/>
          <w:color w:val="00B050"/>
          <w:kern w:val="2"/>
          <w:sz w:val="16"/>
          <w:szCs w:val="16"/>
        </w:rPr>
        <w:t xml:space="preserve">: RAN Paging message includes the MT-SDT Data Size IE. </w:t>
      </w:r>
      <w:r w:rsidRPr="00417556">
        <w:rPr>
          <w:rFonts w:ascii="Calibri" w:eastAsia="MS Mincho" w:hAnsi="Calibri" w:cs="Calibri"/>
          <w:i/>
          <w:color w:val="FF0000"/>
          <w:sz w:val="16"/>
          <w:szCs w:val="16"/>
          <w:lang w:eastAsia="en-US"/>
        </w:rPr>
        <w:t xml:space="preserve">FFS on the MT-SDT indicator IE and the presence of MT-SDT Data Size IE. </w:t>
      </w:r>
    </w:p>
    <w:p w14:paraId="11FEEC18" w14:textId="77777777" w:rsidR="00C113DD" w:rsidRPr="00C6598B" w:rsidRDefault="00C113DD" w:rsidP="00C113DD">
      <w:pPr>
        <w:pStyle w:val="ListParagraph3"/>
        <w:numPr>
          <w:ilvl w:val="0"/>
          <w:numId w:val="31"/>
        </w:numPr>
        <w:pBdr>
          <w:top w:val="single" w:sz="4" w:space="1" w:color="auto"/>
          <w:left w:val="single" w:sz="4" w:space="4" w:color="auto"/>
          <w:bottom w:val="single" w:sz="4" w:space="1" w:color="auto"/>
          <w:right w:val="single" w:sz="4" w:space="4" w:color="auto"/>
        </w:pBdr>
        <w:spacing w:after="240"/>
        <w:rPr>
          <w:rFonts w:ascii="Calibri" w:hAnsi="Calibri" w:cs="Calibri"/>
          <w:color w:val="0000FF"/>
          <w:sz w:val="18"/>
        </w:rPr>
      </w:pPr>
      <w:r w:rsidRPr="00417556">
        <w:rPr>
          <w:rFonts w:ascii="Calibri" w:eastAsia="MS Mincho" w:hAnsi="Calibri" w:cs="Calibri"/>
          <w:i/>
          <w:iCs/>
          <w:color w:val="00B050"/>
          <w:kern w:val="2"/>
          <w:sz w:val="16"/>
          <w:szCs w:val="16"/>
        </w:rPr>
        <w:t>The encoding and the name of MT-SDT information IE in E1AP DL DATA NOTIFICATION message include MT-SDT Data Size IE (Mandatory, INTEGER (1…96000, …).</w:t>
      </w:r>
      <w:r w:rsidRPr="00417556">
        <w:rPr>
          <w:rFonts w:ascii="Calibri" w:eastAsia="MS Mincho" w:hAnsi="Calibri" w:cs="Calibri"/>
          <w:i/>
          <w:color w:val="FF0000"/>
          <w:sz w:val="16"/>
          <w:szCs w:val="16"/>
          <w:lang w:eastAsia="en-US"/>
        </w:rPr>
        <w:t xml:space="preserve"> FFS on whether MT-SDT indicator IE is needed. </w:t>
      </w:r>
    </w:p>
    <w:p w14:paraId="41FC7E08" w14:textId="7BB41EAB" w:rsidR="00C113DD" w:rsidRDefault="00C113DD" w:rsidP="00C113DD">
      <w:pPr>
        <w:pStyle w:val="ListParagraph"/>
        <w:numPr>
          <w:ilvl w:val="0"/>
          <w:numId w:val="31"/>
        </w:numPr>
        <w:pBdr>
          <w:top w:val="single" w:sz="4" w:space="1" w:color="auto"/>
          <w:left w:val="single" w:sz="4" w:space="4" w:color="auto"/>
          <w:bottom w:val="single" w:sz="4" w:space="1" w:color="auto"/>
          <w:right w:val="single" w:sz="4" w:space="4" w:color="auto"/>
        </w:pBdr>
      </w:pPr>
      <w:r w:rsidRPr="00C113DD">
        <w:rPr>
          <w:rFonts w:ascii="Calibri" w:eastAsia="MS Mincho" w:hAnsi="Calibri" w:cs="Calibri"/>
          <w:i/>
          <w:iCs/>
          <w:color w:val="00B050"/>
          <w:kern w:val="2"/>
          <w:sz w:val="16"/>
          <w:szCs w:val="16"/>
        </w:rPr>
        <w:t xml:space="preserve">The encoding and the name of MT-SDT information IE in F1AP: Paging message include MT-SDT indicator IE (Mandatory). </w:t>
      </w:r>
      <w:r w:rsidRPr="00C113DD">
        <w:rPr>
          <w:rFonts w:ascii="Calibri" w:eastAsia="MS Mincho" w:hAnsi="Calibri" w:cs="Calibri"/>
          <w:i/>
          <w:color w:val="FF0000"/>
          <w:sz w:val="16"/>
          <w:szCs w:val="16"/>
        </w:rPr>
        <w:t>FFS on MT-SDT Data Size IE</w:t>
      </w:r>
    </w:p>
    <w:p w14:paraId="58856A10" w14:textId="77777777" w:rsidR="00706FE0" w:rsidRDefault="00706FE0" w:rsidP="00841E29"/>
    <w:p w14:paraId="4AC9814B" w14:textId="77777777" w:rsidR="00706FE0" w:rsidRDefault="00706FE0" w:rsidP="00841E29"/>
    <w:p w14:paraId="32429CA6" w14:textId="1142CD45" w:rsidR="00C113DD" w:rsidRDefault="00706FE0" w:rsidP="00841E29">
      <w:r>
        <w:lastRenderedPageBreak/>
        <w:t>RAN3#120 Agreements:</w:t>
      </w:r>
    </w:p>
    <w:p w14:paraId="58202FEC" w14:textId="77777777" w:rsidR="00706FE0" w:rsidRPr="00221683" w:rsidRDefault="00706FE0" w:rsidP="00706FE0">
      <w:pPr>
        <w:widowControl w:val="0"/>
        <w:pBdr>
          <w:top w:val="single" w:sz="4" w:space="1" w:color="auto"/>
          <w:left w:val="single" w:sz="4" w:space="4" w:color="auto"/>
          <w:bottom w:val="single" w:sz="4" w:space="1" w:color="auto"/>
          <w:right w:val="single" w:sz="4" w:space="4" w:color="auto"/>
        </w:pBdr>
        <w:ind w:left="360" w:hanging="90"/>
        <w:rPr>
          <w:rFonts w:ascii="Calibri" w:eastAsia="MS Mincho" w:hAnsi="Calibri" w:cs="Calibri"/>
          <w:i/>
          <w:iCs/>
          <w:color w:val="00B050"/>
          <w:kern w:val="2"/>
          <w:sz w:val="16"/>
          <w:szCs w:val="16"/>
        </w:rPr>
      </w:pPr>
      <w:r w:rsidRPr="00221683">
        <w:rPr>
          <w:rFonts w:ascii="Calibri" w:eastAsia="MS Mincho" w:hAnsi="Calibri" w:cs="Calibri"/>
          <w:i/>
          <w:iCs/>
          <w:color w:val="00B050"/>
          <w:kern w:val="2"/>
          <w:sz w:val="16"/>
          <w:szCs w:val="16"/>
        </w:rPr>
        <w:t>In E1AP: MT-SDT indicator IE within MT-SDT information IE is not needed.</w:t>
      </w:r>
    </w:p>
    <w:p w14:paraId="65DB5FA0" w14:textId="77777777" w:rsidR="00706FE0" w:rsidRPr="00221683" w:rsidRDefault="00706FE0" w:rsidP="00706FE0">
      <w:pPr>
        <w:widowControl w:val="0"/>
        <w:pBdr>
          <w:top w:val="single" w:sz="4" w:space="1" w:color="auto"/>
          <w:left w:val="single" w:sz="4" w:space="4" w:color="auto"/>
          <w:bottom w:val="single" w:sz="4" w:space="1" w:color="auto"/>
          <w:right w:val="single" w:sz="4" w:space="4" w:color="auto"/>
        </w:pBdr>
        <w:ind w:left="360" w:hanging="90"/>
        <w:rPr>
          <w:rFonts w:ascii="Calibri" w:eastAsia="MS Mincho" w:hAnsi="Calibri" w:cs="Calibri"/>
          <w:i/>
          <w:iCs/>
          <w:color w:val="00B050"/>
          <w:kern w:val="2"/>
          <w:sz w:val="16"/>
          <w:szCs w:val="16"/>
        </w:rPr>
      </w:pPr>
      <w:r w:rsidRPr="00221683">
        <w:rPr>
          <w:rFonts w:ascii="Calibri" w:eastAsia="MS Mincho" w:hAnsi="Calibri" w:cs="Calibri"/>
          <w:i/>
          <w:iCs/>
          <w:color w:val="00B050"/>
          <w:kern w:val="2"/>
          <w:sz w:val="16"/>
          <w:szCs w:val="16"/>
        </w:rPr>
        <w:t xml:space="preserve">In </w:t>
      </w:r>
      <w:proofErr w:type="spellStart"/>
      <w:r w:rsidRPr="00221683">
        <w:rPr>
          <w:rFonts w:ascii="Calibri" w:eastAsia="MS Mincho" w:hAnsi="Calibri" w:cs="Calibri"/>
          <w:i/>
          <w:iCs/>
          <w:color w:val="00B050"/>
          <w:kern w:val="2"/>
          <w:sz w:val="16"/>
          <w:szCs w:val="16"/>
        </w:rPr>
        <w:t>XnAP</w:t>
      </w:r>
      <w:proofErr w:type="spellEnd"/>
      <w:r w:rsidRPr="00221683">
        <w:rPr>
          <w:rFonts w:ascii="Calibri" w:eastAsia="MS Mincho" w:hAnsi="Calibri" w:cs="Calibri"/>
          <w:i/>
          <w:iCs/>
          <w:color w:val="00B050"/>
          <w:kern w:val="2"/>
          <w:sz w:val="16"/>
          <w:szCs w:val="16"/>
        </w:rPr>
        <w:t>: MT-SDT data size calculation includes total of both SDT signalling and SDT</w:t>
      </w:r>
      <w:r w:rsidRPr="00221683">
        <w:rPr>
          <w:rFonts w:ascii="Calibri" w:eastAsia="MS Mincho" w:hAnsi="Calibri" w:cs="Calibri" w:hint="eastAsia"/>
          <w:i/>
          <w:iCs/>
          <w:color w:val="00B050"/>
          <w:kern w:val="2"/>
          <w:sz w:val="16"/>
          <w:szCs w:val="16"/>
        </w:rPr>
        <w:t xml:space="preserve"> </w:t>
      </w:r>
      <w:r w:rsidRPr="00221683">
        <w:rPr>
          <w:rFonts w:ascii="Calibri" w:eastAsia="MS Mincho" w:hAnsi="Calibri" w:cs="Calibri"/>
          <w:i/>
          <w:iCs/>
          <w:color w:val="00B050"/>
          <w:kern w:val="2"/>
          <w:sz w:val="16"/>
          <w:szCs w:val="16"/>
        </w:rPr>
        <w:t>user plane data. Try to capture it into the TP</w:t>
      </w:r>
      <w:r w:rsidRPr="00221683">
        <w:rPr>
          <w:rFonts w:ascii="Calibri" w:eastAsia="MS Mincho" w:hAnsi="Calibri" w:cs="Calibri" w:hint="eastAsia"/>
          <w:i/>
          <w:iCs/>
          <w:color w:val="00B050"/>
          <w:kern w:val="2"/>
          <w:sz w:val="16"/>
          <w:szCs w:val="16"/>
        </w:rPr>
        <w:t>.</w:t>
      </w:r>
    </w:p>
    <w:p w14:paraId="2BF076BC" w14:textId="77777777" w:rsidR="00706FE0" w:rsidRPr="00221683" w:rsidRDefault="00706FE0" w:rsidP="00706FE0">
      <w:pPr>
        <w:widowControl w:val="0"/>
        <w:pBdr>
          <w:top w:val="single" w:sz="4" w:space="1" w:color="auto"/>
          <w:left w:val="single" w:sz="4" w:space="4" w:color="auto"/>
          <w:bottom w:val="single" w:sz="4" w:space="1" w:color="auto"/>
          <w:right w:val="single" w:sz="4" w:space="4" w:color="auto"/>
        </w:pBdr>
        <w:ind w:left="360" w:hanging="90"/>
        <w:rPr>
          <w:rFonts w:ascii="Calibri" w:eastAsia="MS Mincho" w:hAnsi="Calibri" w:cs="Calibri"/>
          <w:i/>
          <w:iCs/>
          <w:color w:val="00B050"/>
          <w:kern w:val="2"/>
          <w:sz w:val="16"/>
          <w:szCs w:val="16"/>
        </w:rPr>
      </w:pPr>
      <w:r w:rsidRPr="00221683">
        <w:rPr>
          <w:rFonts w:ascii="Calibri" w:eastAsia="MS Mincho" w:hAnsi="Calibri" w:cs="Calibri"/>
          <w:i/>
          <w:iCs/>
          <w:color w:val="00B050"/>
          <w:kern w:val="2"/>
          <w:sz w:val="16"/>
          <w:szCs w:val="16"/>
        </w:rPr>
        <w:t xml:space="preserve">In </w:t>
      </w:r>
      <w:proofErr w:type="spellStart"/>
      <w:r w:rsidRPr="00221683">
        <w:rPr>
          <w:rFonts w:ascii="Calibri" w:eastAsia="MS Mincho" w:hAnsi="Calibri" w:cs="Calibri"/>
          <w:i/>
          <w:iCs/>
          <w:color w:val="00B050"/>
          <w:kern w:val="2"/>
          <w:sz w:val="16"/>
          <w:szCs w:val="16"/>
        </w:rPr>
        <w:t>XnAP</w:t>
      </w:r>
      <w:proofErr w:type="spellEnd"/>
      <w:r w:rsidRPr="00221683">
        <w:rPr>
          <w:rFonts w:ascii="Calibri" w:eastAsia="MS Mincho" w:hAnsi="Calibri" w:cs="Calibri"/>
          <w:i/>
          <w:iCs/>
          <w:color w:val="00B050"/>
          <w:kern w:val="2"/>
          <w:sz w:val="16"/>
          <w:szCs w:val="16"/>
        </w:rPr>
        <w:t xml:space="preserve">: Both MT-SDT indicator IE and MT-SDT Data Size IE are “Mandatory”.  </w:t>
      </w:r>
    </w:p>
    <w:p w14:paraId="4307DC91" w14:textId="77777777" w:rsidR="00706FE0" w:rsidRPr="00221683" w:rsidRDefault="00706FE0" w:rsidP="00706FE0">
      <w:pPr>
        <w:widowControl w:val="0"/>
        <w:pBdr>
          <w:top w:val="single" w:sz="4" w:space="1" w:color="auto"/>
          <w:left w:val="single" w:sz="4" w:space="4" w:color="auto"/>
          <w:bottom w:val="single" w:sz="4" w:space="1" w:color="auto"/>
          <w:right w:val="single" w:sz="4" w:space="4" w:color="auto"/>
        </w:pBdr>
        <w:ind w:left="360" w:hanging="90"/>
        <w:rPr>
          <w:rFonts w:ascii="Calibri" w:eastAsia="MS Mincho" w:hAnsi="Calibri" w:cs="Calibri"/>
          <w:i/>
          <w:iCs/>
          <w:color w:val="00B050"/>
          <w:kern w:val="2"/>
          <w:sz w:val="16"/>
          <w:szCs w:val="16"/>
        </w:rPr>
      </w:pPr>
      <w:r w:rsidRPr="00221683">
        <w:rPr>
          <w:rFonts w:ascii="Calibri" w:eastAsia="MS Mincho" w:hAnsi="Calibri" w:cs="Calibri"/>
          <w:i/>
          <w:iCs/>
          <w:color w:val="00B050"/>
          <w:kern w:val="2"/>
          <w:sz w:val="16"/>
          <w:szCs w:val="16"/>
        </w:rPr>
        <w:t xml:space="preserve">In F1AP: MT-SDT indicator IE is “Mandatory”. </w:t>
      </w:r>
    </w:p>
    <w:p w14:paraId="1FA59173" w14:textId="77777777" w:rsidR="00706FE0" w:rsidRPr="00221683" w:rsidRDefault="00706FE0" w:rsidP="00706FE0">
      <w:pPr>
        <w:widowControl w:val="0"/>
        <w:pBdr>
          <w:top w:val="single" w:sz="4" w:space="1" w:color="auto"/>
          <w:left w:val="single" w:sz="4" w:space="4" w:color="auto"/>
          <w:bottom w:val="single" w:sz="4" w:space="1" w:color="auto"/>
          <w:right w:val="single" w:sz="4" w:space="4" w:color="auto"/>
        </w:pBdr>
        <w:ind w:left="360" w:hanging="90"/>
        <w:rPr>
          <w:rFonts w:ascii="Calibri" w:eastAsia="MS Mincho" w:hAnsi="Calibri" w:cs="Calibri"/>
          <w:i/>
          <w:iCs/>
          <w:color w:val="00B050"/>
          <w:kern w:val="2"/>
          <w:sz w:val="16"/>
          <w:szCs w:val="16"/>
        </w:rPr>
      </w:pPr>
      <w:r w:rsidRPr="00221683">
        <w:rPr>
          <w:rFonts w:ascii="Calibri" w:eastAsia="MS Mincho" w:hAnsi="Calibri" w:cs="Calibri"/>
          <w:i/>
          <w:iCs/>
          <w:color w:val="00B050"/>
          <w:kern w:val="2"/>
          <w:sz w:val="16"/>
          <w:szCs w:val="16"/>
        </w:rPr>
        <w:t xml:space="preserve">In F1AP: </w:t>
      </w:r>
      <w:proofErr w:type="spellStart"/>
      <w:r w:rsidRPr="00221683">
        <w:rPr>
          <w:rFonts w:ascii="Calibri" w:eastAsia="MS Mincho" w:hAnsi="Calibri" w:cs="Calibri"/>
          <w:i/>
          <w:iCs/>
          <w:color w:val="00B050"/>
          <w:kern w:val="2"/>
          <w:sz w:val="16"/>
          <w:szCs w:val="16"/>
        </w:rPr>
        <w:t>gNB</w:t>
      </w:r>
      <w:proofErr w:type="spellEnd"/>
      <w:r w:rsidRPr="00221683">
        <w:rPr>
          <w:rFonts w:ascii="Calibri" w:eastAsia="MS Mincho" w:hAnsi="Calibri" w:cs="Calibri"/>
          <w:i/>
          <w:iCs/>
          <w:color w:val="00B050"/>
          <w:kern w:val="2"/>
          <w:sz w:val="16"/>
          <w:szCs w:val="16"/>
        </w:rPr>
        <w:t xml:space="preserve">-CU makes the MT-SDT decision, </w:t>
      </w:r>
      <w:proofErr w:type="spellStart"/>
      <w:r w:rsidRPr="00221683">
        <w:rPr>
          <w:rFonts w:ascii="Calibri" w:eastAsia="MS Mincho" w:hAnsi="Calibri" w:cs="Calibri"/>
          <w:i/>
          <w:iCs/>
          <w:color w:val="00B050"/>
          <w:kern w:val="2"/>
          <w:sz w:val="16"/>
          <w:szCs w:val="16"/>
        </w:rPr>
        <w:t>gNB</w:t>
      </w:r>
      <w:proofErr w:type="spellEnd"/>
      <w:r w:rsidRPr="00221683">
        <w:rPr>
          <w:rFonts w:ascii="Calibri" w:eastAsia="MS Mincho" w:hAnsi="Calibri" w:cs="Calibri"/>
          <w:i/>
          <w:iCs/>
          <w:color w:val="00B050"/>
          <w:kern w:val="2"/>
          <w:sz w:val="16"/>
          <w:szCs w:val="16"/>
        </w:rPr>
        <w:t>-DU shall follow the decision.</w:t>
      </w:r>
    </w:p>
    <w:p w14:paraId="2DC9BC66" w14:textId="77777777" w:rsidR="00706FE0" w:rsidRPr="00221683" w:rsidRDefault="00706FE0" w:rsidP="00706FE0">
      <w:pPr>
        <w:widowControl w:val="0"/>
        <w:pBdr>
          <w:top w:val="single" w:sz="4" w:space="1" w:color="auto"/>
          <w:left w:val="single" w:sz="4" w:space="4" w:color="auto"/>
          <w:bottom w:val="single" w:sz="4" w:space="1" w:color="auto"/>
          <w:right w:val="single" w:sz="4" w:space="4" w:color="auto"/>
        </w:pBdr>
        <w:ind w:left="360" w:hanging="90"/>
        <w:rPr>
          <w:rFonts w:ascii="Calibri" w:eastAsia="MS Mincho" w:hAnsi="Calibri" w:cs="Calibri"/>
          <w:i/>
          <w:iCs/>
          <w:color w:val="00B050"/>
          <w:kern w:val="2"/>
          <w:sz w:val="16"/>
          <w:szCs w:val="16"/>
        </w:rPr>
      </w:pPr>
      <w:r w:rsidRPr="00221683">
        <w:rPr>
          <w:rFonts w:ascii="Calibri" w:eastAsia="MS Mincho" w:hAnsi="Calibri" w:cs="Calibri"/>
          <w:i/>
          <w:iCs/>
          <w:color w:val="00B050"/>
          <w:kern w:val="2"/>
          <w:sz w:val="16"/>
          <w:szCs w:val="16"/>
        </w:rPr>
        <w:t xml:space="preserve">When new DL data is coming through non-SDT bearer, the </w:t>
      </w:r>
      <w:proofErr w:type="spellStart"/>
      <w:r w:rsidRPr="00221683">
        <w:rPr>
          <w:rFonts w:ascii="Calibri" w:eastAsia="MS Mincho" w:hAnsi="Calibri" w:cs="Calibri"/>
          <w:i/>
          <w:iCs/>
          <w:color w:val="00B050"/>
          <w:kern w:val="2"/>
          <w:sz w:val="16"/>
          <w:szCs w:val="16"/>
        </w:rPr>
        <w:t>gNB</w:t>
      </w:r>
      <w:proofErr w:type="spellEnd"/>
      <w:r w:rsidRPr="00221683">
        <w:rPr>
          <w:rFonts w:ascii="Calibri" w:eastAsia="MS Mincho" w:hAnsi="Calibri" w:cs="Calibri"/>
          <w:i/>
          <w:iCs/>
          <w:color w:val="00B050"/>
          <w:kern w:val="2"/>
          <w:sz w:val="16"/>
          <w:szCs w:val="16"/>
        </w:rPr>
        <w:t xml:space="preserve">-CU-UP shall send DL DATA NOTIFICATION message. </w:t>
      </w:r>
    </w:p>
    <w:p w14:paraId="2F4D63CE" w14:textId="77777777" w:rsidR="00706FE0" w:rsidRPr="00221683" w:rsidRDefault="00706FE0" w:rsidP="00706FE0">
      <w:pPr>
        <w:widowControl w:val="0"/>
        <w:pBdr>
          <w:top w:val="single" w:sz="4" w:space="1" w:color="auto"/>
          <w:left w:val="single" w:sz="4" w:space="4" w:color="auto"/>
          <w:bottom w:val="single" w:sz="4" w:space="1" w:color="auto"/>
          <w:right w:val="single" w:sz="4" w:space="4" w:color="auto"/>
        </w:pBdr>
        <w:ind w:left="360" w:hanging="90"/>
        <w:rPr>
          <w:rFonts w:ascii="Calibri" w:eastAsia="MS Mincho" w:hAnsi="Calibri" w:cs="Calibri"/>
          <w:i/>
          <w:color w:val="FF0000"/>
          <w:sz w:val="16"/>
          <w:szCs w:val="16"/>
        </w:rPr>
      </w:pPr>
      <w:r w:rsidRPr="00221683">
        <w:rPr>
          <w:rFonts w:ascii="Calibri" w:eastAsia="MS Mincho" w:hAnsi="Calibri" w:cs="Calibri"/>
          <w:i/>
          <w:color w:val="FF0000"/>
          <w:sz w:val="16"/>
          <w:szCs w:val="16"/>
        </w:rPr>
        <w:t xml:space="preserve">FFS on either excluding MT-SDT Information, or introducing a new indicator (e.g., </w:t>
      </w:r>
      <w:proofErr w:type="gramStart"/>
      <w:r w:rsidRPr="00221683">
        <w:rPr>
          <w:rFonts w:ascii="Calibri" w:eastAsia="MS Mincho" w:hAnsi="Calibri" w:cs="Calibri"/>
          <w:i/>
          <w:color w:val="FF0000"/>
          <w:sz w:val="16"/>
          <w:szCs w:val="16"/>
        </w:rPr>
        <w:t>Non MT</w:t>
      </w:r>
      <w:proofErr w:type="gramEnd"/>
      <w:r w:rsidRPr="00221683">
        <w:rPr>
          <w:rFonts w:ascii="Calibri" w:eastAsia="MS Mincho" w:hAnsi="Calibri" w:cs="Calibri"/>
          <w:i/>
          <w:color w:val="FF0000"/>
          <w:sz w:val="16"/>
          <w:szCs w:val="16"/>
        </w:rPr>
        <w:t>-SDT Data) or other method.</w:t>
      </w:r>
    </w:p>
    <w:p w14:paraId="46FAAC01" w14:textId="77777777" w:rsidR="00706FE0" w:rsidRPr="00221683" w:rsidRDefault="00706FE0" w:rsidP="00706FE0">
      <w:pPr>
        <w:widowControl w:val="0"/>
        <w:pBdr>
          <w:top w:val="single" w:sz="4" w:space="1" w:color="auto"/>
          <w:left w:val="single" w:sz="4" w:space="4" w:color="auto"/>
          <w:bottom w:val="single" w:sz="4" w:space="1" w:color="auto"/>
          <w:right w:val="single" w:sz="4" w:space="4" w:color="auto"/>
        </w:pBdr>
        <w:ind w:left="360" w:hanging="90"/>
        <w:rPr>
          <w:rFonts w:ascii="Calibri" w:eastAsia="MS Mincho" w:hAnsi="Calibri" w:cs="Calibri"/>
          <w:i/>
          <w:iCs/>
          <w:color w:val="00B050"/>
          <w:kern w:val="2"/>
          <w:sz w:val="16"/>
          <w:szCs w:val="16"/>
        </w:rPr>
      </w:pPr>
      <w:r w:rsidRPr="00221683">
        <w:rPr>
          <w:rFonts w:ascii="Calibri" w:eastAsia="MS Mincho" w:hAnsi="Calibri" w:cs="Calibri"/>
          <w:i/>
          <w:iCs/>
          <w:color w:val="00B050"/>
          <w:kern w:val="2"/>
          <w:sz w:val="16"/>
          <w:szCs w:val="16"/>
        </w:rPr>
        <w:t xml:space="preserve">When large size of new DL data is coming through SDT bearer, the </w:t>
      </w:r>
      <w:proofErr w:type="spellStart"/>
      <w:r w:rsidRPr="00221683">
        <w:rPr>
          <w:rFonts w:ascii="Calibri" w:eastAsia="MS Mincho" w:hAnsi="Calibri" w:cs="Calibri"/>
          <w:i/>
          <w:iCs/>
          <w:color w:val="00B050"/>
          <w:kern w:val="2"/>
          <w:sz w:val="16"/>
          <w:szCs w:val="16"/>
        </w:rPr>
        <w:t>gNB</w:t>
      </w:r>
      <w:proofErr w:type="spellEnd"/>
      <w:r w:rsidRPr="00221683">
        <w:rPr>
          <w:rFonts w:ascii="Calibri" w:eastAsia="MS Mincho" w:hAnsi="Calibri" w:cs="Calibri"/>
          <w:i/>
          <w:iCs/>
          <w:color w:val="00B050"/>
          <w:kern w:val="2"/>
          <w:sz w:val="16"/>
          <w:szCs w:val="16"/>
        </w:rPr>
        <w:t>-CU-UP shall send DL DATA NOTIFICATION message.</w:t>
      </w:r>
    </w:p>
    <w:p w14:paraId="19A577DC" w14:textId="77777777" w:rsidR="00706FE0" w:rsidRPr="00221683" w:rsidRDefault="00706FE0" w:rsidP="00706FE0">
      <w:pPr>
        <w:widowControl w:val="0"/>
        <w:pBdr>
          <w:top w:val="single" w:sz="4" w:space="1" w:color="auto"/>
          <w:left w:val="single" w:sz="4" w:space="4" w:color="auto"/>
          <w:bottom w:val="single" w:sz="4" w:space="1" w:color="auto"/>
          <w:right w:val="single" w:sz="4" w:space="4" w:color="auto"/>
        </w:pBdr>
        <w:ind w:left="360" w:hanging="90"/>
        <w:rPr>
          <w:rFonts w:ascii="Calibri" w:eastAsia="MS Mincho" w:hAnsi="Calibri" w:cs="Calibri"/>
          <w:i/>
          <w:color w:val="FF0000"/>
          <w:sz w:val="16"/>
          <w:szCs w:val="16"/>
        </w:rPr>
      </w:pPr>
      <w:r w:rsidRPr="00221683">
        <w:rPr>
          <w:rFonts w:ascii="Calibri" w:eastAsia="MS Mincho" w:hAnsi="Calibri" w:cs="Calibri"/>
          <w:i/>
          <w:color w:val="FF0000"/>
          <w:sz w:val="16"/>
          <w:szCs w:val="16"/>
        </w:rPr>
        <w:t>FFS on either excluding MT-SDT Information, or introducing a new indicator (e.g., MT-SDT Oversi</w:t>
      </w:r>
      <w:r>
        <w:rPr>
          <w:rFonts w:ascii="Calibri" w:eastAsia="MS Mincho" w:hAnsi="Calibri" w:cs="Calibri"/>
          <w:i/>
          <w:color w:val="FF0000"/>
          <w:sz w:val="16"/>
          <w:szCs w:val="16"/>
        </w:rPr>
        <w:t xml:space="preserve">ze), or other method. </w:t>
      </w:r>
    </w:p>
    <w:p w14:paraId="7BF3F00F" w14:textId="77777777" w:rsidR="00706FE0" w:rsidRPr="00221683" w:rsidRDefault="00706FE0" w:rsidP="00706FE0">
      <w:pPr>
        <w:widowControl w:val="0"/>
        <w:pBdr>
          <w:top w:val="single" w:sz="4" w:space="1" w:color="auto"/>
          <w:left w:val="single" w:sz="4" w:space="4" w:color="auto"/>
          <w:bottom w:val="single" w:sz="4" w:space="1" w:color="auto"/>
          <w:right w:val="single" w:sz="4" w:space="4" w:color="auto"/>
        </w:pBdr>
        <w:ind w:left="360" w:hanging="90"/>
        <w:rPr>
          <w:rFonts w:ascii="Calibri" w:eastAsia="MS Mincho" w:hAnsi="Calibri" w:cs="Calibri"/>
          <w:i/>
          <w:color w:val="FF0000"/>
          <w:sz w:val="16"/>
          <w:szCs w:val="16"/>
        </w:rPr>
      </w:pPr>
      <w:r>
        <w:rPr>
          <w:rFonts w:ascii="Calibri" w:eastAsia="MS Mincho" w:hAnsi="Calibri" w:cs="Calibri"/>
          <w:i/>
          <w:color w:val="FF0000"/>
          <w:sz w:val="16"/>
          <w:szCs w:val="16"/>
        </w:rPr>
        <w:t>FFS on h</w:t>
      </w:r>
      <w:r w:rsidRPr="00221683">
        <w:rPr>
          <w:rFonts w:ascii="Calibri" w:eastAsia="MS Mincho" w:hAnsi="Calibri" w:cs="Calibri"/>
          <w:i/>
          <w:color w:val="FF0000"/>
          <w:sz w:val="16"/>
          <w:szCs w:val="16"/>
        </w:rPr>
        <w:t>ow to calculate MT-SDT Data Size for SDT DL data packets.</w:t>
      </w:r>
    </w:p>
    <w:p w14:paraId="5C71C10A" w14:textId="584D780B" w:rsidR="00706FE0" w:rsidRDefault="00706FE0" w:rsidP="00706FE0">
      <w:pPr>
        <w:pBdr>
          <w:top w:val="single" w:sz="4" w:space="1" w:color="auto"/>
          <w:left w:val="single" w:sz="4" w:space="4" w:color="auto"/>
          <w:bottom w:val="single" w:sz="4" w:space="1" w:color="auto"/>
          <w:right w:val="single" w:sz="4" w:space="4" w:color="auto"/>
        </w:pBdr>
        <w:ind w:left="360" w:hanging="90"/>
      </w:pPr>
      <w:r>
        <w:rPr>
          <w:rFonts w:ascii="Calibri" w:eastAsia="MS Mincho" w:hAnsi="Calibri" w:cs="Calibri"/>
          <w:i/>
          <w:color w:val="FF0000"/>
          <w:sz w:val="16"/>
          <w:szCs w:val="16"/>
        </w:rPr>
        <w:t xml:space="preserve">Complete the stage3 </w:t>
      </w:r>
      <w:proofErr w:type="gramStart"/>
      <w:r>
        <w:rPr>
          <w:rFonts w:ascii="Calibri" w:eastAsia="MS Mincho" w:hAnsi="Calibri" w:cs="Calibri"/>
          <w:i/>
          <w:color w:val="FF0000"/>
          <w:sz w:val="16"/>
          <w:szCs w:val="16"/>
        </w:rPr>
        <w:t>details</w:t>
      </w:r>
      <w:proofErr w:type="gramEnd"/>
    </w:p>
    <w:p w14:paraId="1C291FE6" w14:textId="6666918E" w:rsidR="00841E29" w:rsidRDefault="00841E29" w:rsidP="00841E29">
      <w:r>
        <w:t xml:space="preserve">This contribution discusses </w:t>
      </w:r>
      <w:r w:rsidR="00D14557">
        <w:t>various</w:t>
      </w:r>
      <w:r>
        <w:t xml:space="preserve"> </w:t>
      </w:r>
      <w:r w:rsidR="00C113DD">
        <w:t xml:space="preserve">remaining </w:t>
      </w:r>
      <w:r>
        <w:t xml:space="preserve">enhancements to support MT-SDT for </w:t>
      </w:r>
      <w:r w:rsidR="00D14557">
        <w:t xml:space="preserve">R18 NR </w:t>
      </w:r>
      <w:r>
        <w:t>UEs in RRC_INACTIVE state.</w:t>
      </w:r>
    </w:p>
    <w:p w14:paraId="0646C9BD" w14:textId="62F14248" w:rsidR="00B81228" w:rsidRPr="0083486F" w:rsidRDefault="009B34A6" w:rsidP="00D71C07">
      <w:pPr>
        <w:pStyle w:val="Heading1"/>
        <w:ind w:left="450"/>
        <w:rPr>
          <w:sz w:val="32"/>
          <w:szCs w:val="32"/>
        </w:rPr>
      </w:pPr>
      <w:r>
        <w:rPr>
          <w:sz w:val="32"/>
          <w:szCs w:val="32"/>
        </w:rPr>
        <w:t>Enhancements to support MT-</w:t>
      </w:r>
      <w:r w:rsidR="00251806">
        <w:rPr>
          <w:sz w:val="32"/>
          <w:szCs w:val="32"/>
        </w:rPr>
        <w:t>S</w:t>
      </w:r>
      <w:r>
        <w:rPr>
          <w:sz w:val="32"/>
          <w:szCs w:val="32"/>
        </w:rPr>
        <w:t xml:space="preserve">DT for </w:t>
      </w:r>
      <w:r w:rsidR="001253E5" w:rsidRPr="0083486F">
        <w:rPr>
          <w:sz w:val="32"/>
          <w:szCs w:val="32"/>
        </w:rPr>
        <w:t>RRC_INACTIVE</w:t>
      </w:r>
      <w:r w:rsidR="0083486F" w:rsidRPr="0083486F">
        <w:rPr>
          <w:sz w:val="32"/>
          <w:szCs w:val="32"/>
        </w:rPr>
        <w:t xml:space="preserve"> state UEs</w:t>
      </w:r>
    </w:p>
    <w:p w14:paraId="0A480ACF" w14:textId="3CC8AF1D" w:rsidR="009B34A6" w:rsidRDefault="0019167B" w:rsidP="009B34A6">
      <w:pPr>
        <w:pStyle w:val="Heading2"/>
        <w:ind w:left="540"/>
      </w:pPr>
      <w:r>
        <w:t xml:space="preserve">Interaction between MT-SDT procedure and </w:t>
      </w:r>
      <w:proofErr w:type="gramStart"/>
      <w:r>
        <w:t>Non-SDT</w:t>
      </w:r>
      <w:proofErr w:type="gramEnd"/>
      <w:r>
        <w:t xml:space="preserve"> data arrival</w:t>
      </w:r>
      <w:r w:rsidR="009B34A6">
        <w:t xml:space="preserve"> </w:t>
      </w:r>
    </w:p>
    <w:p w14:paraId="68F7EC7F" w14:textId="75E465E2" w:rsidR="00CB6484" w:rsidRDefault="0019167B" w:rsidP="00841E29">
      <w:r w:rsidRPr="00EE0BB6">
        <w:t xml:space="preserve">In R17, MO-SDT is configurable to UE per SRB and DRB level as part of the RRC Release Message. MO data/signalling related to MO-SDT radio bearer will be subjected to MO-SDT procedure, for radio bearers </w:t>
      </w:r>
      <w:r w:rsidR="00EE0BB6" w:rsidRPr="00EE0BB6">
        <w:t>not configured as MO-SDT, data/signalling can’t be transmitted using MO-SDT procedure. In such cases, UE is expected to transition to RRC_CONNECTED state for data transfer.</w:t>
      </w:r>
      <w:r w:rsidR="00EE0BB6">
        <w:t xml:space="preserve"> During the ongoing R17 MO-SDT procedure, if non-SDT data is received in DL or UL, last serving gNB terminates current ongoing MO-SDT and triggers UE to transition into RRC_INACTIVE state by using the RRC Release Message including the suspend configuration.</w:t>
      </w:r>
    </w:p>
    <w:p w14:paraId="4FABA6F5" w14:textId="2AA3E2E0" w:rsidR="00CB6484" w:rsidRPr="00802572" w:rsidRDefault="004118E4" w:rsidP="004118E4">
      <w:pPr>
        <w:pStyle w:val="Observation"/>
      </w:pPr>
      <w:bookmarkStart w:id="2" w:name="_Toc126620208"/>
      <w:bookmarkStart w:id="3" w:name="_Toc126761285"/>
      <w:bookmarkStart w:id="4" w:name="_Toc131260571"/>
      <w:bookmarkStart w:id="5" w:name="_Toc134394055"/>
      <w:bookmarkStart w:id="6" w:name="_Hlk141393643"/>
      <w:r>
        <w:rPr>
          <w:lang w:val="en-US"/>
        </w:rPr>
        <w:t xml:space="preserve">Observation 1: </w:t>
      </w:r>
      <w:r w:rsidR="00CB6484" w:rsidRPr="00CB6484">
        <w:rPr>
          <w:lang w:val="en-US"/>
        </w:rPr>
        <w:t xml:space="preserve">In Rel-17, if a </w:t>
      </w:r>
      <w:proofErr w:type="spellStart"/>
      <w:r w:rsidR="00CB6484" w:rsidRPr="00CB6484">
        <w:rPr>
          <w:lang w:val="en-US"/>
        </w:rPr>
        <w:t>gNB</w:t>
      </w:r>
      <w:proofErr w:type="spellEnd"/>
      <w:r w:rsidR="00CB6484" w:rsidRPr="00CB6484">
        <w:rPr>
          <w:lang w:val="en-US"/>
        </w:rPr>
        <w:t xml:space="preserve"> receives DL non-SDT data/</w:t>
      </w:r>
      <w:proofErr w:type="gramStart"/>
      <w:r w:rsidR="00CB6484" w:rsidRPr="00CB6484">
        <w:rPr>
          <w:lang w:val="en-US"/>
        </w:rPr>
        <w:t>signaling, or</w:t>
      </w:r>
      <w:proofErr w:type="gramEnd"/>
      <w:r w:rsidR="00CB6484" w:rsidRPr="00CB6484">
        <w:rPr>
          <w:lang w:val="en-US"/>
        </w:rPr>
        <w:t xml:space="preserve"> receives UAI with non-SDT data indication from the UE, the last serving </w:t>
      </w:r>
      <w:proofErr w:type="spellStart"/>
      <w:r w:rsidR="00CB6484" w:rsidRPr="00CB6484">
        <w:rPr>
          <w:lang w:val="en-US"/>
        </w:rPr>
        <w:t>gNB</w:t>
      </w:r>
      <w:proofErr w:type="spellEnd"/>
      <w:r w:rsidR="00CB6484" w:rsidRPr="00CB6484">
        <w:rPr>
          <w:lang w:val="en-US"/>
        </w:rPr>
        <w:t xml:space="preserve"> (in case of no anchor relocation) terminates the ongoing MO-SDT and moves the UE to RRC_INACTIVE state by sending the </w:t>
      </w:r>
      <w:proofErr w:type="spellStart"/>
      <w:r w:rsidR="00CB6484" w:rsidRPr="0019167B">
        <w:rPr>
          <w:i/>
          <w:iCs/>
          <w:lang w:val="en-US"/>
        </w:rPr>
        <w:t>RRCRelease</w:t>
      </w:r>
      <w:proofErr w:type="spellEnd"/>
      <w:r w:rsidR="00CB6484" w:rsidRPr="00CB6484">
        <w:rPr>
          <w:lang w:val="en-US"/>
        </w:rPr>
        <w:t xml:space="preserve"> </w:t>
      </w:r>
      <w:r w:rsidR="00CB6484" w:rsidRPr="00563BA1">
        <w:rPr>
          <w:bCs/>
        </w:rPr>
        <w:t>message</w:t>
      </w:r>
      <w:bookmarkEnd w:id="2"/>
      <w:bookmarkEnd w:id="3"/>
      <w:bookmarkEnd w:id="4"/>
      <w:r w:rsidR="00DA121E">
        <w:rPr>
          <w:bCs/>
        </w:rPr>
        <w:t>.</w:t>
      </w:r>
      <w:bookmarkEnd w:id="5"/>
    </w:p>
    <w:bookmarkEnd w:id="6"/>
    <w:p w14:paraId="79883D94" w14:textId="341765A0" w:rsidR="0039791C" w:rsidRPr="00566C67" w:rsidRDefault="00566C67" w:rsidP="00566C67">
      <w:r w:rsidRPr="00566C67">
        <w:t xml:space="preserve">During the ongoing MT-SDT data transfer (i.e., UE is receiving data while in RRC_INACTIVE state), if non-SDT data is received, how to handle such scenario. There are 2 possible cases here. One scenario is last serving </w:t>
      </w:r>
      <w:proofErr w:type="spellStart"/>
      <w:r w:rsidRPr="00566C67">
        <w:t>gNB</w:t>
      </w:r>
      <w:proofErr w:type="spellEnd"/>
      <w:r w:rsidRPr="00566C67">
        <w:t xml:space="preserve"> did full context transfer to receiving </w:t>
      </w:r>
      <w:proofErr w:type="spellStart"/>
      <w:r w:rsidRPr="00566C67">
        <w:t>gNB</w:t>
      </w:r>
      <w:proofErr w:type="spellEnd"/>
      <w:r w:rsidRPr="00566C67">
        <w:t xml:space="preserve"> and second scenario is last serving </w:t>
      </w:r>
      <w:proofErr w:type="spellStart"/>
      <w:r w:rsidRPr="00566C67">
        <w:t>gNB</w:t>
      </w:r>
      <w:proofErr w:type="spellEnd"/>
      <w:r w:rsidRPr="00566C67">
        <w:t xml:space="preserve"> did partial UE context transfer to receiving </w:t>
      </w:r>
      <w:proofErr w:type="spellStart"/>
      <w:r w:rsidRPr="00566C67">
        <w:t>gNB</w:t>
      </w:r>
      <w:proofErr w:type="spellEnd"/>
      <w:r w:rsidRPr="00566C67">
        <w:t>.</w:t>
      </w:r>
    </w:p>
    <w:p w14:paraId="00A284D1" w14:textId="62989BA1" w:rsidR="00566C67" w:rsidRPr="000108DA" w:rsidRDefault="000108DA" w:rsidP="000108DA">
      <w:r w:rsidRPr="000108DA">
        <w:t xml:space="preserve">In case of full context transfer to serving </w:t>
      </w:r>
      <w:proofErr w:type="spellStart"/>
      <w:r w:rsidRPr="000108DA">
        <w:t>gNB</w:t>
      </w:r>
      <w:proofErr w:type="spellEnd"/>
      <w:r w:rsidRPr="000108DA">
        <w:t xml:space="preserve">, if any DL non-SDT data arrives as serving </w:t>
      </w:r>
      <w:proofErr w:type="spellStart"/>
      <w:r w:rsidRPr="000108DA">
        <w:t>gNB</w:t>
      </w:r>
      <w:proofErr w:type="spellEnd"/>
      <w:r w:rsidRPr="000108DA">
        <w:t xml:space="preserve"> then it can simply send RRC Resume message to trigger UE to transition into RRC_CONNECTED state so that UE can start receiving non-SDT data while in RRC_CONNECTED state.</w:t>
      </w:r>
    </w:p>
    <w:p w14:paraId="60875AEF" w14:textId="3E389953" w:rsidR="000108DA" w:rsidRDefault="000108DA" w:rsidP="005447A1">
      <w:r>
        <w:t xml:space="preserve">In case of </w:t>
      </w:r>
      <w:proofErr w:type="spellStart"/>
      <w:r>
        <w:t>on going</w:t>
      </w:r>
      <w:proofErr w:type="spellEnd"/>
      <w:r>
        <w:t xml:space="preserve"> MT-SDT data transfer and parial UE context was transferred from last sering </w:t>
      </w:r>
      <w:proofErr w:type="gramStart"/>
      <w:r>
        <w:t>gNB  to</w:t>
      </w:r>
      <w:proofErr w:type="gramEnd"/>
      <w:r>
        <w:t xml:space="preserve"> receiving gNB, in R17 there was no late UE context transfer was supported due to limited time in both RAN2 and RAN3 WGs.  </w:t>
      </w:r>
    </w:p>
    <w:p w14:paraId="57190D53" w14:textId="2D196310" w:rsidR="0078797C" w:rsidRDefault="0078797C" w:rsidP="004118E4">
      <w:pPr>
        <w:pStyle w:val="Observation"/>
        <w:rPr>
          <w:lang w:eastAsia="zh-CN"/>
        </w:rPr>
      </w:pPr>
      <w:r w:rsidRPr="004118E4">
        <w:lastRenderedPageBreak/>
        <w:t>RAN3#120, TP for TS 38.300 BL CR (R3-233413) captured following Note for MT-</w:t>
      </w:r>
      <w:r w:rsidRPr="004118E4">
        <w:rPr>
          <w:lang w:eastAsia="zh-CN"/>
        </w:rPr>
        <w:t>SDT with/without UE context relocation:</w:t>
      </w:r>
    </w:p>
    <w:p w14:paraId="437D47C2" w14:textId="1E3AEB95" w:rsidR="004118E4" w:rsidRPr="004118E4" w:rsidRDefault="004118E4" w:rsidP="004118E4">
      <w:pPr>
        <w:rPr>
          <w:lang w:eastAsia="zh-CN"/>
        </w:rPr>
      </w:pPr>
      <w:r>
        <w:object w:dxaOrig="12555" w:dyaOrig="9579" w14:anchorId="6BE3D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75pt;height:337.45pt" o:ole="">
            <v:imagedata r:id="rId12" o:title=""/>
          </v:shape>
          <o:OLEObject Type="Embed" ProgID="Visio.Drawing.11" ShapeID="_x0000_i1025" DrawAspect="Content" ObjectID="_1753123507" r:id="rId13"/>
        </w:object>
      </w:r>
    </w:p>
    <w:p w14:paraId="4C8A6443" w14:textId="6C428083" w:rsidR="0078797C" w:rsidRPr="004118E4" w:rsidRDefault="0078797C" w:rsidP="004118E4">
      <w:pPr>
        <w:pStyle w:val="Observation"/>
        <w:rPr>
          <w:lang w:eastAsia="zh-CN"/>
        </w:rPr>
      </w:pPr>
      <w:r w:rsidRPr="004118E4" w:rsidDel="00D0328E">
        <w:t>NOTE:</w:t>
      </w:r>
      <w:r w:rsidRPr="004118E4">
        <w:rPr>
          <w:rFonts w:hint="eastAsia"/>
          <w:lang w:eastAsia="zh-CN"/>
        </w:rPr>
        <w:t xml:space="preserve"> </w:t>
      </w:r>
      <w:r w:rsidRPr="004118E4" w:rsidDel="00D0328E">
        <w:t xml:space="preserve">In case DL non-SDT data or DL non-SDT signalling </w:t>
      </w:r>
      <w:r w:rsidRPr="004118E4">
        <w:rPr>
          <w:rFonts w:hint="eastAsia"/>
          <w:lang w:eastAsia="zh-CN"/>
        </w:rPr>
        <w:t>has arrived</w:t>
      </w:r>
      <w:r w:rsidRPr="004118E4">
        <w:t xml:space="preserve"> between step 2 and step </w:t>
      </w:r>
      <w:r w:rsidRPr="004118E4">
        <w:rPr>
          <w:rFonts w:hint="eastAsia"/>
          <w:lang w:eastAsia="zh-CN"/>
        </w:rPr>
        <w:t>7</w:t>
      </w:r>
      <w:r w:rsidRPr="004118E4" w:rsidDel="00D0328E">
        <w:t xml:space="preserve">, the </w:t>
      </w:r>
      <w:r w:rsidRPr="004118E4">
        <w:rPr>
          <w:rFonts w:hint="eastAsia"/>
          <w:lang w:eastAsia="zh-CN"/>
        </w:rPr>
        <w:t>L</w:t>
      </w:r>
      <w:r w:rsidRPr="004118E4">
        <w:t xml:space="preserve">ast </w:t>
      </w:r>
      <w:r w:rsidRPr="004118E4">
        <w:rPr>
          <w:rFonts w:hint="eastAsia"/>
          <w:lang w:eastAsia="zh-CN"/>
        </w:rPr>
        <w:t>S</w:t>
      </w:r>
      <w:r w:rsidRPr="004118E4">
        <w:t xml:space="preserve">erving </w:t>
      </w:r>
      <w:proofErr w:type="spellStart"/>
      <w:r w:rsidRPr="004118E4" w:rsidDel="00D0328E">
        <w:t>gNB</w:t>
      </w:r>
      <w:proofErr w:type="spellEnd"/>
      <w:r w:rsidRPr="004118E4" w:rsidDel="00D0328E">
        <w:t xml:space="preserve"> </w:t>
      </w:r>
      <w:r w:rsidRPr="004118E4">
        <w:t>should</w:t>
      </w:r>
      <w:r w:rsidRPr="004118E4" w:rsidDel="00D0328E">
        <w:t xml:space="preserve"> </w:t>
      </w:r>
      <w:r w:rsidRPr="004118E4">
        <w:t xml:space="preserve">relocate the UE context to the </w:t>
      </w:r>
      <w:r w:rsidRPr="004118E4">
        <w:rPr>
          <w:rFonts w:hint="eastAsia"/>
          <w:lang w:eastAsia="zh-CN"/>
        </w:rPr>
        <w:t>R</w:t>
      </w:r>
      <w:r w:rsidRPr="004118E4">
        <w:t xml:space="preserve">eceiving </w:t>
      </w:r>
      <w:proofErr w:type="spellStart"/>
      <w:r w:rsidRPr="004118E4">
        <w:t>gNB</w:t>
      </w:r>
      <w:proofErr w:type="spellEnd"/>
      <w:r w:rsidRPr="004118E4">
        <w:t xml:space="preserve"> and forward the received data to the </w:t>
      </w:r>
      <w:r w:rsidRPr="004118E4">
        <w:rPr>
          <w:rFonts w:hint="eastAsia"/>
          <w:lang w:eastAsia="zh-CN"/>
        </w:rPr>
        <w:t>R</w:t>
      </w:r>
      <w:r w:rsidRPr="004118E4">
        <w:t xml:space="preserve">eceiving </w:t>
      </w:r>
      <w:proofErr w:type="spellStart"/>
      <w:r w:rsidRPr="004118E4">
        <w:t>gNB</w:t>
      </w:r>
      <w:proofErr w:type="spellEnd"/>
      <w:r w:rsidRPr="004118E4">
        <w:t>.</w:t>
      </w:r>
    </w:p>
    <w:p w14:paraId="1C5EE55D" w14:textId="67E79912" w:rsidR="005447A1" w:rsidRDefault="005447A1" w:rsidP="005447A1">
      <w:r>
        <w:t xml:space="preserve">In R18, it </w:t>
      </w:r>
      <w:r w:rsidR="0078797C">
        <w:t>will be</w:t>
      </w:r>
      <w:r>
        <w:t xml:space="preserve"> </w:t>
      </w:r>
      <w:r w:rsidR="0078797C">
        <w:t>efficient</w:t>
      </w:r>
      <w:r>
        <w:t xml:space="preserve"> to enhance the signalling procedure to enable last serving </w:t>
      </w:r>
      <w:proofErr w:type="spellStart"/>
      <w:r>
        <w:t>gNB</w:t>
      </w:r>
      <w:proofErr w:type="spellEnd"/>
      <w:r>
        <w:t xml:space="preserve"> to transfer </w:t>
      </w:r>
      <w:r w:rsidRPr="005447A1">
        <w:rPr>
          <w:u w:val="single"/>
        </w:rPr>
        <w:t>late</w:t>
      </w:r>
      <w:r>
        <w:t xml:space="preserve"> full UE context transfer to receiving </w:t>
      </w:r>
      <w:proofErr w:type="spellStart"/>
      <w:r>
        <w:t>gNB</w:t>
      </w:r>
      <w:proofErr w:type="spellEnd"/>
      <w:r>
        <w:t xml:space="preserve"> (assuming partial UE context transfer was done previously) and receiving </w:t>
      </w:r>
      <w:proofErr w:type="spellStart"/>
      <w:r>
        <w:t>gNB</w:t>
      </w:r>
      <w:proofErr w:type="spellEnd"/>
      <w:r>
        <w:t xml:space="preserve"> can send either RRC Resume message to trigger UE to transition into RRC_CONNECTED state or RRC Release message including a new indicator to trigger UE to immediately trigger another RRC Resume procedure without receiving any additional RRC Paging message (which needs RAN2 RRC signalling enhancements as well).</w:t>
      </w:r>
    </w:p>
    <w:p w14:paraId="41491A9B" w14:textId="4171A522" w:rsidR="00297AEA" w:rsidRDefault="00297AEA" w:rsidP="00297AEA">
      <w:pPr>
        <w:pStyle w:val="Proposal"/>
        <w:ind w:left="1170" w:hanging="1170"/>
        <w:rPr>
          <w:noProof/>
        </w:rPr>
      </w:pPr>
      <w:bookmarkStart w:id="7" w:name="_Toc134394045"/>
      <w:bookmarkStart w:id="8" w:name="_Toc142497340"/>
      <w:bookmarkStart w:id="9" w:name="_Hlk141394228"/>
      <w:r w:rsidRPr="00297AEA">
        <w:rPr>
          <w:noProof/>
        </w:rPr>
        <w:t xml:space="preserve">when DL non-SDT data arrives  at last serving gNB during ongoing SDT data transfer and last serving gNB </w:t>
      </w:r>
      <w:r w:rsidRPr="00F55F59">
        <w:rPr>
          <w:noProof/>
        </w:rPr>
        <w:t xml:space="preserve">makes the decision for  complete UE context relocation to </w:t>
      </w:r>
      <w:r w:rsidR="00243290">
        <w:rPr>
          <w:noProof/>
        </w:rPr>
        <w:t>receiving</w:t>
      </w:r>
      <w:r w:rsidRPr="00F55F59">
        <w:rPr>
          <w:noProof/>
        </w:rPr>
        <w:t xml:space="preserve"> gNB (assuming earlier it did just partial context relocation) and </w:t>
      </w:r>
      <w:r w:rsidR="005447A1">
        <w:rPr>
          <w:noProof/>
        </w:rPr>
        <w:t>receiving</w:t>
      </w:r>
      <w:r w:rsidRPr="00F55F59">
        <w:rPr>
          <w:noProof/>
        </w:rPr>
        <w:t xml:space="preserve"> gNB triggers UE transition into RRC_Connected state by sending RRC Resume message</w:t>
      </w:r>
      <w:r>
        <w:rPr>
          <w:noProof/>
        </w:rPr>
        <w:t xml:space="preserve"> or RRC Release message with an indication</w:t>
      </w:r>
      <w:r w:rsidRPr="00F55F59">
        <w:rPr>
          <w:noProof/>
        </w:rPr>
        <w:t xml:space="preserve">. </w:t>
      </w:r>
      <w:r w:rsidR="00E35C74">
        <w:rPr>
          <w:noProof/>
        </w:rPr>
        <w:t>Last sering</w:t>
      </w:r>
      <w:r w:rsidRPr="00F55F59">
        <w:rPr>
          <w:noProof/>
        </w:rPr>
        <w:t xml:space="preserve"> gNB also sends an indication to the receiving gNB for DL non-SDT data arrival.</w:t>
      </w:r>
      <w:bookmarkEnd w:id="7"/>
      <w:bookmarkEnd w:id="8"/>
    </w:p>
    <w:bookmarkEnd w:id="9"/>
    <w:p w14:paraId="5053AE09" w14:textId="77777777" w:rsidR="00480A45" w:rsidRDefault="00480A45" w:rsidP="00480A45">
      <w:r>
        <w:lastRenderedPageBreak/>
        <w:t xml:space="preserve">Releasing UE into RRC_INACTIVE state means, for any DL non-SDT data delivery, </w:t>
      </w:r>
      <w:proofErr w:type="spellStart"/>
      <w:r>
        <w:t>gNB</w:t>
      </w:r>
      <w:proofErr w:type="spellEnd"/>
      <w:r>
        <w:t xml:space="preserve"> </w:t>
      </w:r>
      <w:proofErr w:type="gramStart"/>
      <w:r>
        <w:t>has to</w:t>
      </w:r>
      <w:proofErr w:type="gramEnd"/>
      <w:r>
        <w:t xml:space="preserve"> use RRC Paging message to trigger UE to get into RRC_CONNECTED state and adds unnecessary signalling and delay. One possible solution to solve this problem is </w:t>
      </w:r>
      <w:proofErr w:type="spellStart"/>
      <w:r>
        <w:t>gNB</w:t>
      </w:r>
      <w:proofErr w:type="spellEnd"/>
      <w:r>
        <w:t xml:space="preserve"> to send RRC Resume message or RRC Release message with an additional indication to trigger UE to resume RRC_CONNECTION immediately. This will have RAN2 impact and since it is beneficial from system signalling overhead and latency performance, RAN3 should send an LS to RAN2 to trigger RAN2 discussion to make necessary RRC enhancements.</w:t>
      </w:r>
    </w:p>
    <w:p w14:paraId="362606A5" w14:textId="77777777" w:rsidR="00480A45" w:rsidRDefault="00480A45" w:rsidP="00480A45">
      <w:pPr>
        <w:pStyle w:val="Proposal"/>
        <w:ind w:left="1170" w:hanging="1170"/>
        <w:rPr>
          <w:noProof/>
        </w:rPr>
      </w:pPr>
      <w:bookmarkStart w:id="10" w:name="_Toc134394046"/>
      <w:bookmarkStart w:id="11" w:name="_Toc142497341"/>
      <w:bookmarkStart w:id="12" w:name="_Hlk141394246"/>
      <w:r>
        <w:rPr>
          <w:noProof/>
        </w:rPr>
        <w:t>Send LS to RAN2 to introduce enhancements to RRC Release message with new indication to trigger UE to resume RRC Connection without receing RRC Paging Message.</w:t>
      </w:r>
      <w:bookmarkEnd w:id="10"/>
      <w:bookmarkEnd w:id="11"/>
    </w:p>
    <w:bookmarkEnd w:id="12"/>
    <w:p w14:paraId="268ED37A" w14:textId="77777777" w:rsidR="00480A45" w:rsidRDefault="00480A45" w:rsidP="00802572"/>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7BC9014D" w14:textId="129EDB5B" w:rsidR="00480A45" w:rsidRPr="00480A45" w:rsidRDefault="00AF4B57" w:rsidP="00706FE0">
      <w:pPr>
        <w:jc w:val="both"/>
        <w:rPr>
          <w:rFonts w:asciiTheme="minorHAnsi" w:eastAsiaTheme="minorEastAsia" w:hAnsiTheme="minorHAnsi" w:cstheme="minorBidi"/>
          <w:b/>
          <w:bCs/>
          <w:noProof/>
          <w:sz w:val="22"/>
          <w:szCs w:val="22"/>
          <w:lang w:val="en-US"/>
        </w:rPr>
      </w:pPr>
      <w:r>
        <w:t xml:space="preserve">Based on the discussion, we </w:t>
      </w:r>
      <w:r w:rsidR="00F81BB5">
        <w:t xml:space="preserve">have following </w:t>
      </w:r>
      <w:r w:rsidR="004F2300">
        <w:t>observations</w:t>
      </w:r>
      <w:r>
        <w:t>:</w:t>
      </w:r>
      <w:r w:rsidR="00FF4388">
        <w:t xml:space="preserve"> </w:t>
      </w:r>
      <w:r w:rsidR="00FF4388" w:rsidRPr="00480A45">
        <w:rPr>
          <w:b/>
          <w:bCs/>
        </w:rPr>
        <w:fldChar w:fldCharType="begin"/>
      </w:r>
      <w:r w:rsidR="00FF4388" w:rsidRPr="00480A45">
        <w:rPr>
          <w:b/>
          <w:bCs/>
        </w:rPr>
        <w:instrText xml:space="preserve"> TOC \t "Observation" \z \n</w:instrText>
      </w:r>
      <w:r w:rsidR="00FF4388" w:rsidRPr="00480A45">
        <w:rPr>
          <w:b/>
          <w:bCs/>
        </w:rPr>
        <w:fldChar w:fldCharType="separate"/>
      </w:r>
    </w:p>
    <w:p w14:paraId="6943D5A4" w14:textId="33770856" w:rsidR="00480A45" w:rsidRPr="00480A45" w:rsidRDefault="00480A45" w:rsidP="00480A45">
      <w:pPr>
        <w:pStyle w:val="TOC1"/>
        <w:ind w:left="1260" w:hanging="1260"/>
        <w:rPr>
          <w:rFonts w:asciiTheme="minorHAnsi" w:eastAsiaTheme="minorEastAsia" w:hAnsiTheme="minorHAnsi" w:cstheme="minorBidi"/>
          <w:b/>
          <w:bCs/>
          <w:noProof/>
          <w:sz w:val="22"/>
          <w:szCs w:val="22"/>
          <w:lang w:val="en-US"/>
        </w:rPr>
      </w:pPr>
      <w:r w:rsidRPr="00480A45">
        <w:rPr>
          <w:b/>
          <w:bCs/>
          <w:noProof/>
        </w:rPr>
        <w:t xml:space="preserve">Observation </w:t>
      </w:r>
      <w:r w:rsidR="00706FE0">
        <w:rPr>
          <w:b/>
          <w:bCs/>
          <w:noProof/>
        </w:rPr>
        <w:t>1</w:t>
      </w:r>
      <w:r w:rsidRPr="00480A45">
        <w:rPr>
          <w:b/>
          <w:bCs/>
          <w:noProof/>
        </w:rPr>
        <w:t>.</w:t>
      </w:r>
      <w:r w:rsidRPr="00480A45">
        <w:rPr>
          <w:rFonts w:asciiTheme="minorHAnsi" w:eastAsiaTheme="minorEastAsia" w:hAnsiTheme="minorHAnsi" w:cstheme="minorBidi"/>
          <w:b/>
          <w:bCs/>
          <w:noProof/>
          <w:sz w:val="22"/>
          <w:szCs w:val="22"/>
          <w:lang w:val="en-US"/>
        </w:rPr>
        <w:tab/>
      </w:r>
      <w:r w:rsidRPr="00480A45">
        <w:rPr>
          <w:b/>
          <w:bCs/>
          <w:noProof/>
          <w:lang w:val="en-US" w:eastAsia="ja-JP"/>
        </w:rPr>
        <w:t xml:space="preserve">In Rel-17, if a gNB receives DL non-SDT data/signaling, or receives UAI with non-SDT data indication from the UE, the last serving gNB (in case of no anchor relocation) terminates the ongoing MO-SDT and moves the UE to RRC_INACTIVE state by sending the </w:t>
      </w:r>
      <w:r w:rsidRPr="00480A45">
        <w:rPr>
          <w:b/>
          <w:bCs/>
          <w:i/>
          <w:iCs/>
          <w:noProof/>
          <w:lang w:val="en-US" w:eastAsia="ja-JP"/>
        </w:rPr>
        <w:t>RRCRelease</w:t>
      </w:r>
      <w:r w:rsidRPr="00480A45">
        <w:rPr>
          <w:b/>
          <w:bCs/>
          <w:noProof/>
          <w:lang w:val="en-US" w:eastAsia="ja-JP"/>
        </w:rPr>
        <w:t xml:space="preserve"> </w:t>
      </w:r>
      <w:r w:rsidRPr="00480A45">
        <w:rPr>
          <w:b/>
          <w:bCs/>
          <w:noProof/>
        </w:rPr>
        <w:t>message.</w:t>
      </w:r>
    </w:p>
    <w:p w14:paraId="37FFE756" w14:textId="7351E096" w:rsidR="00F81BB5" w:rsidRDefault="00FF4388" w:rsidP="00706FE0">
      <w:pPr>
        <w:ind w:left="1260" w:hanging="1260"/>
      </w:pPr>
      <w:r w:rsidRPr="00480A45">
        <w:rPr>
          <w:b/>
          <w:bCs/>
        </w:rPr>
        <w:fldChar w:fldCharType="end"/>
      </w:r>
      <w:r>
        <w:t>Based on the</w:t>
      </w:r>
      <w:r w:rsidR="00CC0FBD">
        <w:t>se</w:t>
      </w:r>
      <w:r>
        <w:t xml:space="preserve"> observations</w:t>
      </w:r>
      <w:r w:rsidR="00CC0FBD">
        <w:t xml:space="preserve"> and discussion above</w:t>
      </w:r>
      <w:r>
        <w:t>, we have the following proposals:</w:t>
      </w:r>
    </w:p>
    <w:p w14:paraId="12A7A891" w14:textId="77777777" w:rsidR="00706FE0" w:rsidRPr="00706FE0" w:rsidRDefault="00A5464A">
      <w:pPr>
        <w:pStyle w:val="TOC1"/>
        <w:rPr>
          <w:rFonts w:asciiTheme="minorHAnsi" w:eastAsiaTheme="minorEastAsia" w:hAnsiTheme="minorHAnsi" w:cstheme="minorBidi"/>
          <w:b/>
          <w:bCs/>
          <w:noProof/>
          <w:kern w:val="2"/>
          <w:sz w:val="22"/>
          <w:szCs w:val="22"/>
          <w:lang w:val="en-US"/>
          <w14:ligatures w14:val="standardContextual"/>
        </w:rPr>
      </w:pPr>
      <w:r w:rsidRPr="00706FE0">
        <w:rPr>
          <w:b/>
          <w:bCs/>
        </w:rPr>
        <w:fldChar w:fldCharType="begin"/>
      </w:r>
      <w:r w:rsidRPr="00706FE0">
        <w:rPr>
          <w:b/>
          <w:bCs/>
        </w:rPr>
        <w:instrText xml:space="preserve"> TOC \t "Proposal" \z \n</w:instrText>
      </w:r>
      <w:r w:rsidRPr="00706FE0">
        <w:rPr>
          <w:b/>
          <w:bCs/>
        </w:rPr>
        <w:fldChar w:fldCharType="separate"/>
      </w:r>
      <w:r w:rsidR="00706FE0" w:rsidRPr="00706FE0">
        <w:rPr>
          <w:b/>
          <w:bCs/>
          <w:noProof/>
        </w:rPr>
        <w:t>Proposal 1.</w:t>
      </w:r>
      <w:r w:rsidR="00706FE0" w:rsidRPr="00706FE0">
        <w:rPr>
          <w:rFonts w:asciiTheme="minorHAnsi" w:eastAsiaTheme="minorEastAsia" w:hAnsiTheme="minorHAnsi" w:cstheme="minorBidi"/>
          <w:b/>
          <w:bCs/>
          <w:noProof/>
          <w:kern w:val="2"/>
          <w:sz w:val="22"/>
          <w:szCs w:val="22"/>
          <w:lang w:val="en-US"/>
          <w14:ligatures w14:val="standardContextual"/>
        </w:rPr>
        <w:tab/>
      </w:r>
      <w:r w:rsidR="00706FE0" w:rsidRPr="00706FE0">
        <w:rPr>
          <w:b/>
          <w:bCs/>
          <w:noProof/>
        </w:rPr>
        <w:t>when DL non-SDT data arrives  at last serving gNB during ongoing SDT data transfer and last serving gNB makes the decision for  complete UE context relocation to receiving gNB (assuming earlier it did just partial context relocation) and receiving gNB triggers UE transition into RRC_Connected state by sending RRC Resume message or RRC Release message with an indication. Last sering gNB also sends an indication to the receiving gNB for DL non-SDT data arrival.</w:t>
      </w:r>
    </w:p>
    <w:p w14:paraId="44FA7208" w14:textId="77777777" w:rsidR="00706FE0" w:rsidRPr="00706FE0" w:rsidRDefault="00706FE0">
      <w:pPr>
        <w:pStyle w:val="TOC1"/>
        <w:rPr>
          <w:rFonts w:asciiTheme="minorHAnsi" w:eastAsiaTheme="minorEastAsia" w:hAnsiTheme="minorHAnsi" w:cstheme="minorBidi"/>
          <w:b/>
          <w:bCs/>
          <w:noProof/>
          <w:kern w:val="2"/>
          <w:sz w:val="22"/>
          <w:szCs w:val="22"/>
          <w:lang w:val="en-US"/>
          <w14:ligatures w14:val="standardContextual"/>
        </w:rPr>
      </w:pPr>
      <w:r w:rsidRPr="00706FE0">
        <w:rPr>
          <w:b/>
          <w:bCs/>
          <w:noProof/>
        </w:rPr>
        <w:t>Proposal 2.</w:t>
      </w:r>
      <w:r w:rsidRPr="00706FE0">
        <w:rPr>
          <w:rFonts w:asciiTheme="minorHAnsi" w:eastAsiaTheme="minorEastAsia" w:hAnsiTheme="minorHAnsi" w:cstheme="minorBidi"/>
          <w:b/>
          <w:bCs/>
          <w:noProof/>
          <w:kern w:val="2"/>
          <w:sz w:val="22"/>
          <w:szCs w:val="22"/>
          <w:lang w:val="en-US"/>
          <w14:ligatures w14:val="standardContextual"/>
        </w:rPr>
        <w:tab/>
      </w:r>
      <w:r w:rsidRPr="00706FE0">
        <w:rPr>
          <w:b/>
          <w:bCs/>
          <w:noProof/>
        </w:rPr>
        <w:t>Send LS to RAN2 to introduce enhancements to RRC Release message with new indication to trigger UE to resume RRC Connection without receing RRC Paging Message.</w:t>
      </w:r>
    </w:p>
    <w:p w14:paraId="62698F82" w14:textId="56F56EF4" w:rsidR="007F6909" w:rsidRDefault="00A5464A" w:rsidP="004B57C7">
      <w:pPr>
        <w:pStyle w:val="Proposal"/>
        <w:numPr>
          <w:ilvl w:val="0"/>
          <w:numId w:val="0"/>
        </w:numPr>
        <w:ind w:left="990"/>
      </w:pPr>
      <w:r w:rsidRPr="00706FE0">
        <w:rPr>
          <w:bCs/>
        </w:rPr>
        <w:fldChar w:fldCharType="end"/>
      </w:r>
    </w:p>
    <w:p w14:paraId="1721C963" w14:textId="38B2DCC1" w:rsidR="00F502FB" w:rsidRDefault="00F502FB" w:rsidP="00F502FB">
      <w:pPr>
        <w:pStyle w:val="Proposal"/>
        <w:numPr>
          <w:ilvl w:val="0"/>
          <w:numId w:val="0"/>
        </w:numPr>
        <w:ind w:left="990"/>
      </w:pPr>
    </w:p>
    <w:p w14:paraId="40CBB7CC" w14:textId="6256E539" w:rsidR="00480A45" w:rsidRDefault="00480A45" w:rsidP="00F502FB">
      <w:pPr>
        <w:pStyle w:val="Proposal"/>
        <w:numPr>
          <w:ilvl w:val="0"/>
          <w:numId w:val="0"/>
        </w:numPr>
        <w:ind w:left="990"/>
      </w:pPr>
    </w:p>
    <w:p w14:paraId="042AB7BC" w14:textId="77777777" w:rsidR="007F6909" w:rsidRPr="003639B5" w:rsidRDefault="007F6909" w:rsidP="007F6909">
      <w:pPr>
        <w:spacing w:after="0" w:line="276" w:lineRule="auto"/>
      </w:pPr>
    </w:p>
    <w:sectPr w:rsidR="007F6909" w:rsidRPr="003639B5"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07346" w14:textId="77777777" w:rsidR="00EC6DAF" w:rsidRDefault="00EC6DAF">
      <w:pPr>
        <w:spacing w:after="0"/>
      </w:pPr>
      <w:r>
        <w:separator/>
      </w:r>
    </w:p>
  </w:endnote>
  <w:endnote w:type="continuationSeparator" w:id="0">
    <w:p w14:paraId="6CC29891" w14:textId="77777777" w:rsidR="00EC6DAF" w:rsidRDefault="00EC6DAF">
      <w:pPr>
        <w:spacing w:after="0"/>
      </w:pPr>
      <w:r>
        <w:continuationSeparator/>
      </w:r>
    </w:p>
  </w:endnote>
  <w:endnote w:type="continuationNotice" w:id="1">
    <w:p w14:paraId="1089EB9E" w14:textId="77777777" w:rsidR="00EC6DAF" w:rsidRDefault="00EC6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6D0F2734" w:rsidR="001052A0" w:rsidRDefault="001052A0" w:rsidP="0005158F">
    <w:pPr>
      <w:pStyle w:val="zFooter"/>
    </w:pPr>
    <w:r>
      <w:fldChar w:fldCharType="begin"/>
    </w:r>
    <w:r>
      <w:instrText xml:space="preserve"> STYLEREF "docDCN" \* MERGEFORMAT </w:instrText>
    </w:r>
    <w:r>
      <w:fldChar w:fldCharType="separate"/>
    </w:r>
    <w:r w:rsidR="00A5054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B7CC1" w14:textId="77777777" w:rsidR="00EC6DAF" w:rsidRDefault="00EC6DAF">
      <w:pPr>
        <w:spacing w:after="0"/>
      </w:pPr>
      <w:r>
        <w:separator/>
      </w:r>
    </w:p>
  </w:footnote>
  <w:footnote w:type="continuationSeparator" w:id="0">
    <w:p w14:paraId="27D5B7EC" w14:textId="77777777" w:rsidR="00EC6DAF" w:rsidRDefault="00EC6DAF">
      <w:pPr>
        <w:spacing w:after="0"/>
      </w:pPr>
      <w:r>
        <w:continuationSeparator/>
      </w:r>
    </w:p>
  </w:footnote>
  <w:footnote w:type="continuationNotice" w:id="1">
    <w:p w14:paraId="3A1A95B3" w14:textId="77777777" w:rsidR="00EC6DAF" w:rsidRDefault="00EC6D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17B7560B" w:rsidR="001052A0" w:rsidRPr="00334660" w:rsidRDefault="001052A0" w:rsidP="0005158F">
    <w:pPr>
      <w:pStyle w:val="Header"/>
    </w:pPr>
    <w:r>
      <w:fldChar w:fldCharType="begin"/>
    </w:r>
    <w:r>
      <w:instrText xml:space="preserve"> STYLEREF "ProductName" \* MERGEFORMAT </w:instrText>
    </w:r>
    <w:r>
      <w:fldChar w:fldCharType="separate"/>
    </w:r>
    <w:r w:rsidR="00A50549">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A50549">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A50549">
      <w:rPr>
        <w:noProof/>
      </w:rPr>
      <w:t>References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66AA02C8"/>
    <w:lvl w:ilvl="0" w:tplc="160ABC70">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5797BCD"/>
    <w:multiLevelType w:val="hybridMultilevel"/>
    <w:tmpl w:val="9B0CA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055E5"/>
    <w:multiLevelType w:val="hybridMultilevel"/>
    <w:tmpl w:val="D66C9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2EB721C"/>
    <w:multiLevelType w:val="hybridMultilevel"/>
    <w:tmpl w:val="F01268BC"/>
    <w:lvl w:ilvl="0" w:tplc="2624A7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F040E68"/>
    <w:multiLevelType w:val="multilevel"/>
    <w:tmpl w:val="05A251C4"/>
    <w:lvl w:ilvl="0">
      <w:start w:val="1"/>
      <w:numFmt w:val="decimal"/>
      <w:lvlText w:val="Observation %1."/>
      <w:lvlJc w:val="left"/>
      <w:pPr>
        <w:ind w:left="522" w:hanging="432"/>
      </w:pPr>
      <w:rPr>
        <w:rFonts w:hint="default"/>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2452B"/>
    <w:multiLevelType w:val="hybridMultilevel"/>
    <w:tmpl w:val="8F982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2"/>
  </w:num>
  <w:num w:numId="3" w16cid:durableId="115368091">
    <w:abstractNumId w:val="13"/>
  </w:num>
  <w:num w:numId="4" w16cid:durableId="1026325172">
    <w:abstractNumId w:val="1"/>
  </w:num>
  <w:num w:numId="5" w16cid:durableId="57484751">
    <w:abstractNumId w:val="17"/>
  </w:num>
  <w:num w:numId="6" w16cid:durableId="2075538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5"/>
  </w:num>
  <w:num w:numId="8" w16cid:durableId="255947967">
    <w:abstractNumId w:val="3"/>
  </w:num>
  <w:num w:numId="9" w16cid:durableId="1191144270">
    <w:abstractNumId w:val="14"/>
  </w:num>
  <w:num w:numId="10" w16cid:durableId="392896516">
    <w:abstractNumId w:val="19"/>
  </w:num>
  <w:num w:numId="11" w16cid:durableId="1511211935">
    <w:abstractNumId w:val="18"/>
  </w:num>
  <w:num w:numId="12" w16cid:durableId="1260210478">
    <w:abstractNumId w:val="12"/>
  </w:num>
  <w:num w:numId="13" w16cid:durableId="14840854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128634">
    <w:abstractNumId w:val="12"/>
  </w:num>
  <w:num w:numId="15" w16cid:durableId="1147019214">
    <w:abstractNumId w:val="16"/>
  </w:num>
  <w:num w:numId="16" w16cid:durableId="130905487">
    <w:abstractNumId w:val="11"/>
  </w:num>
  <w:num w:numId="17" w16cid:durableId="1521891088">
    <w:abstractNumId w:val="2"/>
  </w:num>
  <w:num w:numId="18" w16cid:durableId="671875637">
    <w:abstractNumId w:val="15"/>
  </w:num>
  <w:num w:numId="19" w16cid:durableId="1439833293">
    <w:abstractNumId w:val="1"/>
  </w:num>
  <w:num w:numId="20" w16cid:durableId="1275865514">
    <w:abstractNumId w:val="1"/>
  </w:num>
  <w:num w:numId="21" w16cid:durableId="712192959">
    <w:abstractNumId w:val="1"/>
  </w:num>
  <w:num w:numId="22" w16cid:durableId="808481094">
    <w:abstractNumId w:val="13"/>
  </w:num>
  <w:num w:numId="23" w16cid:durableId="2068188088">
    <w:abstractNumId w:val="1"/>
  </w:num>
  <w:num w:numId="24" w16cid:durableId="188643898">
    <w:abstractNumId w:val="1"/>
  </w:num>
  <w:num w:numId="25" w16cid:durableId="181095702">
    <w:abstractNumId w:val="13"/>
  </w:num>
  <w:num w:numId="26" w16cid:durableId="2134591524">
    <w:abstractNumId w:val="1"/>
  </w:num>
  <w:num w:numId="27" w16cid:durableId="70274930">
    <w:abstractNumId w:val="6"/>
  </w:num>
  <w:num w:numId="28" w16cid:durableId="909653798">
    <w:abstractNumId w:val="13"/>
  </w:num>
  <w:num w:numId="29" w16cid:durableId="1876379873">
    <w:abstractNumId w:val="10"/>
  </w:num>
  <w:num w:numId="30" w16cid:durableId="1538395348">
    <w:abstractNumId w:val="4"/>
  </w:num>
  <w:num w:numId="31" w16cid:durableId="1180923682">
    <w:abstractNumId w:val="7"/>
  </w:num>
  <w:num w:numId="32" w16cid:durableId="2130581638">
    <w:abstractNumId w:val="1"/>
  </w:num>
  <w:num w:numId="33" w16cid:durableId="1423141363">
    <w:abstractNumId w:val="1"/>
  </w:num>
  <w:num w:numId="34" w16cid:durableId="28142567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C4E"/>
    <w:rsid w:val="00004EFE"/>
    <w:rsid w:val="00005F3B"/>
    <w:rsid w:val="00006D93"/>
    <w:rsid w:val="000075D4"/>
    <w:rsid w:val="00007AC4"/>
    <w:rsid w:val="00007BD1"/>
    <w:rsid w:val="00010133"/>
    <w:rsid w:val="000108DA"/>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6D9"/>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1D5"/>
    <w:rsid w:val="00035257"/>
    <w:rsid w:val="00036273"/>
    <w:rsid w:val="000375B1"/>
    <w:rsid w:val="00037740"/>
    <w:rsid w:val="000378A5"/>
    <w:rsid w:val="00041114"/>
    <w:rsid w:val="00041445"/>
    <w:rsid w:val="0004144F"/>
    <w:rsid w:val="000418D1"/>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1ADE"/>
    <w:rsid w:val="000627E6"/>
    <w:rsid w:val="00062C30"/>
    <w:rsid w:val="000630D6"/>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BC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AD"/>
    <w:rsid w:val="000E36FD"/>
    <w:rsid w:val="000E3F6C"/>
    <w:rsid w:val="000E52B6"/>
    <w:rsid w:val="000E550A"/>
    <w:rsid w:val="000E595B"/>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4DF5"/>
    <w:rsid w:val="00105122"/>
    <w:rsid w:val="001052A0"/>
    <w:rsid w:val="001058A1"/>
    <w:rsid w:val="0010596D"/>
    <w:rsid w:val="00105E01"/>
    <w:rsid w:val="00106157"/>
    <w:rsid w:val="0010691D"/>
    <w:rsid w:val="0010693B"/>
    <w:rsid w:val="00106B4D"/>
    <w:rsid w:val="001072BC"/>
    <w:rsid w:val="001079A0"/>
    <w:rsid w:val="00107FA8"/>
    <w:rsid w:val="001109BD"/>
    <w:rsid w:val="00111158"/>
    <w:rsid w:val="0011157C"/>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167B"/>
    <w:rsid w:val="00193365"/>
    <w:rsid w:val="00193914"/>
    <w:rsid w:val="00193CD5"/>
    <w:rsid w:val="001945B4"/>
    <w:rsid w:val="00194C0D"/>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838"/>
    <w:rsid w:val="001B2B32"/>
    <w:rsid w:val="001B3812"/>
    <w:rsid w:val="001B3839"/>
    <w:rsid w:val="001B4908"/>
    <w:rsid w:val="001B4A5C"/>
    <w:rsid w:val="001B52B0"/>
    <w:rsid w:val="001B571F"/>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470"/>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0BA"/>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5EF9"/>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51DC"/>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952"/>
    <w:rsid w:val="00237A99"/>
    <w:rsid w:val="00237B4F"/>
    <w:rsid w:val="00237EBE"/>
    <w:rsid w:val="0024057D"/>
    <w:rsid w:val="0024116D"/>
    <w:rsid w:val="0024151F"/>
    <w:rsid w:val="00242697"/>
    <w:rsid w:val="002427FE"/>
    <w:rsid w:val="00242DB7"/>
    <w:rsid w:val="00243290"/>
    <w:rsid w:val="00243C9A"/>
    <w:rsid w:val="00243DFD"/>
    <w:rsid w:val="00243F19"/>
    <w:rsid w:val="002444CA"/>
    <w:rsid w:val="002445B2"/>
    <w:rsid w:val="00245518"/>
    <w:rsid w:val="00245CC9"/>
    <w:rsid w:val="0024659E"/>
    <w:rsid w:val="00247391"/>
    <w:rsid w:val="0025017B"/>
    <w:rsid w:val="002507C1"/>
    <w:rsid w:val="00251806"/>
    <w:rsid w:val="00251B5D"/>
    <w:rsid w:val="00252754"/>
    <w:rsid w:val="00253387"/>
    <w:rsid w:val="00253C5A"/>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A1D"/>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97AEA"/>
    <w:rsid w:val="002A00B6"/>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5BB0"/>
    <w:rsid w:val="002E6271"/>
    <w:rsid w:val="002E6345"/>
    <w:rsid w:val="002E74B9"/>
    <w:rsid w:val="002E7569"/>
    <w:rsid w:val="002E7772"/>
    <w:rsid w:val="002E7827"/>
    <w:rsid w:val="002E7BE6"/>
    <w:rsid w:val="002E7F8F"/>
    <w:rsid w:val="002E7F99"/>
    <w:rsid w:val="002F01AB"/>
    <w:rsid w:val="002F0C15"/>
    <w:rsid w:val="002F1A86"/>
    <w:rsid w:val="002F2A90"/>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011"/>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07FB9"/>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115"/>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08"/>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6F9B"/>
    <w:rsid w:val="00347A59"/>
    <w:rsid w:val="00350851"/>
    <w:rsid w:val="00350C50"/>
    <w:rsid w:val="0035181E"/>
    <w:rsid w:val="003541D5"/>
    <w:rsid w:val="00354FC8"/>
    <w:rsid w:val="00355EBA"/>
    <w:rsid w:val="00355EC4"/>
    <w:rsid w:val="00356218"/>
    <w:rsid w:val="003563E0"/>
    <w:rsid w:val="00356805"/>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91C"/>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0C7C"/>
    <w:rsid w:val="003E11B2"/>
    <w:rsid w:val="003E16AF"/>
    <w:rsid w:val="003E1EF4"/>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18E4"/>
    <w:rsid w:val="004175C1"/>
    <w:rsid w:val="004178EE"/>
    <w:rsid w:val="00420632"/>
    <w:rsid w:val="0042188C"/>
    <w:rsid w:val="004221F2"/>
    <w:rsid w:val="004244B0"/>
    <w:rsid w:val="00426976"/>
    <w:rsid w:val="00427613"/>
    <w:rsid w:val="004277B1"/>
    <w:rsid w:val="004304D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35F"/>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5F48"/>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3BE"/>
    <w:rsid w:val="00463891"/>
    <w:rsid w:val="00463A24"/>
    <w:rsid w:val="0046474A"/>
    <w:rsid w:val="00464B63"/>
    <w:rsid w:val="004663BB"/>
    <w:rsid w:val="00466ACD"/>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0A45"/>
    <w:rsid w:val="004817D7"/>
    <w:rsid w:val="00481B5D"/>
    <w:rsid w:val="004829A6"/>
    <w:rsid w:val="00483336"/>
    <w:rsid w:val="004833BE"/>
    <w:rsid w:val="0048343A"/>
    <w:rsid w:val="00483B97"/>
    <w:rsid w:val="004841DB"/>
    <w:rsid w:val="0048448A"/>
    <w:rsid w:val="00484900"/>
    <w:rsid w:val="00484EB0"/>
    <w:rsid w:val="00485065"/>
    <w:rsid w:val="00485E08"/>
    <w:rsid w:val="00486864"/>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5540"/>
    <w:rsid w:val="00496759"/>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7C7"/>
    <w:rsid w:val="004B5D9E"/>
    <w:rsid w:val="004B6B69"/>
    <w:rsid w:val="004B756C"/>
    <w:rsid w:val="004C0A04"/>
    <w:rsid w:val="004C0A28"/>
    <w:rsid w:val="004C0ECC"/>
    <w:rsid w:val="004C129B"/>
    <w:rsid w:val="004C228D"/>
    <w:rsid w:val="004C28A4"/>
    <w:rsid w:val="004C2E60"/>
    <w:rsid w:val="004C2FAC"/>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E93"/>
    <w:rsid w:val="004D7188"/>
    <w:rsid w:val="004D7E8D"/>
    <w:rsid w:val="004E0829"/>
    <w:rsid w:val="004E08B4"/>
    <w:rsid w:val="004E0ACE"/>
    <w:rsid w:val="004E12FF"/>
    <w:rsid w:val="004E2569"/>
    <w:rsid w:val="004E2925"/>
    <w:rsid w:val="004E2BFF"/>
    <w:rsid w:val="004E2F33"/>
    <w:rsid w:val="004E36E4"/>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B8C"/>
    <w:rsid w:val="004F2300"/>
    <w:rsid w:val="004F2F6A"/>
    <w:rsid w:val="004F3A3E"/>
    <w:rsid w:val="004F504A"/>
    <w:rsid w:val="004F60BB"/>
    <w:rsid w:val="004F633E"/>
    <w:rsid w:val="004F67E1"/>
    <w:rsid w:val="004F74F7"/>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8B9"/>
    <w:rsid w:val="00514C50"/>
    <w:rsid w:val="005155AC"/>
    <w:rsid w:val="005157C0"/>
    <w:rsid w:val="005169C9"/>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7A1"/>
    <w:rsid w:val="00544FEB"/>
    <w:rsid w:val="00545C00"/>
    <w:rsid w:val="005465A6"/>
    <w:rsid w:val="00546886"/>
    <w:rsid w:val="00547AFF"/>
    <w:rsid w:val="00547B4F"/>
    <w:rsid w:val="00550782"/>
    <w:rsid w:val="00550DA7"/>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3BA1"/>
    <w:rsid w:val="00564098"/>
    <w:rsid w:val="00565945"/>
    <w:rsid w:val="00565BA3"/>
    <w:rsid w:val="00566C67"/>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1CE5"/>
    <w:rsid w:val="005A1F83"/>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6D00"/>
    <w:rsid w:val="005F70D6"/>
    <w:rsid w:val="005F72EA"/>
    <w:rsid w:val="005F740B"/>
    <w:rsid w:val="00600E3B"/>
    <w:rsid w:val="00601085"/>
    <w:rsid w:val="00603BAB"/>
    <w:rsid w:val="00603BF0"/>
    <w:rsid w:val="0060417A"/>
    <w:rsid w:val="006046E8"/>
    <w:rsid w:val="0060492A"/>
    <w:rsid w:val="006049E5"/>
    <w:rsid w:val="00604E7B"/>
    <w:rsid w:val="00604F35"/>
    <w:rsid w:val="006063E6"/>
    <w:rsid w:val="006066AC"/>
    <w:rsid w:val="0061010C"/>
    <w:rsid w:val="0061028B"/>
    <w:rsid w:val="0061041D"/>
    <w:rsid w:val="006111F4"/>
    <w:rsid w:val="0061236B"/>
    <w:rsid w:val="00613720"/>
    <w:rsid w:val="00613D08"/>
    <w:rsid w:val="006140C9"/>
    <w:rsid w:val="0061433C"/>
    <w:rsid w:val="0061478F"/>
    <w:rsid w:val="0061580A"/>
    <w:rsid w:val="0061589B"/>
    <w:rsid w:val="00616B88"/>
    <w:rsid w:val="0062078D"/>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0252"/>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1D9B"/>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6AE"/>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6FE0"/>
    <w:rsid w:val="0070705C"/>
    <w:rsid w:val="00707503"/>
    <w:rsid w:val="007075E7"/>
    <w:rsid w:val="00707AC2"/>
    <w:rsid w:val="00707D21"/>
    <w:rsid w:val="0071150C"/>
    <w:rsid w:val="00711F77"/>
    <w:rsid w:val="00712155"/>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7B4A"/>
    <w:rsid w:val="0074064C"/>
    <w:rsid w:val="00741149"/>
    <w:rsid w:val="00741823"/>
    <w:rsid w:val="007419E5"/>
    <w:rsid w:val="00742222"/>
    <w:rsid w:val="007422B1"/>
    <w:rsid w:val="007422B8"/>
    <w:rsid w:val="00742522"/>
    <w:rsid w:val="00742704"/>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4B83"/>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194"/>
    <w:rsid w:val="00764C09"/>
    <w:rsid w:val="00764DD5"/>
    <w:rsid w:val="007652CC"/>
    <w:rsid w:val="007662FC"/>
    <w:rsid w:val="0076662C"/>
    <w:rsid w:val="00766DEB"/>
    <w:rsid w:val="007674BB"/>
    <w:rsid w:val="007678E6"/>
    <w:rsid w:val="00767F4E"/>
    <w:rsid w:val="00770461"/>
    <w:rsid w:val="007714AC"/>
    <w:rsid w:val="00772325"/>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4EDF"/>
    <w:rsid w:val="00785F4C"/>
    <w:rsid w:val="00786EEF"/>
    <w:rsid w:val="007870F8"/>
    <w:rsid w:val="007871AE"/>
    <w:rsid w:val="0078752F"/>
    <w:rsid w:val="0078797C"/>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0DF3"/>
    <w:rsid w:val="007A1200"/>
    <w:rsid w:val="007A15B1"/>
    <w:rsid w:val="007A1707"/>
    <w:rsid w:val="007A1F5E"/>
    <w:rsid w:val="007A3B44"/>
    <w:rsid w:val="007A44B9"/>
    <w:rsid w:val="007A57EF"/>
    <w:rsid w:val="007B02B5"/>
    <w:rsid w:val="007B0809"/>
    <w:rsid w:val="007B0B44"/>
    <w:rsid w:val="007B107C"/>
    <w:rsid w:val="007B11DC"/>
    <w:rsid w:val="007B1902"/>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8EC"/>
    <w:rsid w:val="007F49B1"/>
    <w:rsid w:val="007F49D4"/>
    <w:rsid w:val="007F6037"/>
    <w:rsid w:val="007F63E2"/>
    <w:rsid w:val="007F6909"/>
    <w:rsid w:val="007F7B36"/>
    <w:rsid w:val="007F7D19"/>
    <w:rsid w:val="007F7E17"/>
    <w:rsid w:val="008002D5"/>
    <w:rsid w:val="008014E8"/>
    <w:rsid w:val="00802214"/>
    <w:rsid w:val="00802572"/>
    <w:rsid w:val="00802879"/>
    <w:rsid w:val="00803451"/>
    <w:rsid w:val="00803530"/>
    <w:rsid w:val="00804C66"/>
    <w:rsid w:val="008062EF"/>
    <w:rsid w:val="008064D0"/>
    <w:rsid w:val="00806D55"/>
    <w:rsid w:val="00806D5D"/>
    <w:rsid w:val="00807B1F"/>
    <w:rsid w:val="00807BD2"/>
    <w:rsid w:val="00810453"/>
    <w:rsid w:val="008112D1"/>
    <w:rsid w:val="008115A6"/>
    <w:rsid w:val="00811626"/>
    <w:rsid w:val="00813029"/>
    <w:rsid w:val="0081355D"/>
    <w:rsid w:val="008138BA"/>
    <w:rsid w:val="008152B7"/>
    <w:rsid w:val="00815589"/>
    <w:rsid w:val="008161DE"/>
    <w:rsid w:val="00816582"/>
    <w:rsid w:val="008168FC"/>
    <w:rsid w:val="00816C11"/>
    <w:rsid w:val="00816C15"/>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1E29"/>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26E"/>
    <w:rsid w:val="00882BA3"/>
    <w:rsid w:val="00883888"/>
    <w:rsid w:val="00884239"/>
    <w:rsid w:val="00884249"/>
    <w:rsid w:val="008842DC"/>
    <w:rsid w:val="00884BFB"/>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6E5"/>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3C42"/>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0F4E"/>
    <w:rsid w:val="009312A8"/>
    <w:rsid w:val="00931BC5"/>
    <w:rsid w:val="00931F7A"/>
    <w:rsid w:val="00932226"/>
    <w:rsid w:val="00933CD2"/>
    <w:rsid w:val="00933D77"/>
    <w:rsid w:val="009340A8"/>
    <w:rsid w:val="00934CBA"/>
    <w:rsid w:val="0093509C"/>
    <w:rsid w:val="00935672"/>
    <w:rsid w:val="0093594B"/>
    <w:rsid w:val="00935C19"/>
    <w:rsid w:val="009362AD"/>
    <w:rsid w:val="009364E7"/>
    <w:rsid w:val="00936BA2"/>
    <w:rsid w:val="00937405"/>
    <w:rsid w:val="00937860"/>
    <w:rsid w:val="00937D5D"/>
    <w:rsid w:val="00940C0F"/>
    <w:rsid w:val="00942E9D"/>
    <w:rsid w:val="0094300F"/>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4D1"/>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3312"/>
    <w:rsid w:val="00984850"/>
    <w:rsid w:val="009848C9"/>
    <w:rsid w:val="00984E93"/>
    <w:rsid w:val="009852E7"/>
    <w:rsid w:val="00985F41"/>
    <w:rsid w:val="00986608"/>
    <w:rsid w:val="0098679A"/>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629"/>
    <w:rsid w:val="009B19A9"/>
    <w:rsid w:val="009B2759"/>
    <w:rsid w:val="009B34A6"/>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5A4E"/>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01"/>
    <w:rsid w:val="009D5471"/>
    <w:rsid w:val="009D59C3"/>
    <w:rsid w:val="009D5D1B"/>
    <w:rsid w:val="009D64D4"/>
    <w:rsid w:val="009D6A15"/>
    <w:rsid w:val="009D7C79"/>
    <w:rsid w:val="009E0394"/>
    <w:rsid w:val="009E113B"/>
    <w:rsid w:val="009E13A6"/>
    <w:rsid w:val="009E170E"/>
    <w:rsid w:val="009E1FA5"/>
    <w:rsid w:val="009E22F3"/>
    <w:rsid w:val="009E2A37"/>
    <w:rsid w:val="009E2B69"/>
    <w:rsid w:val="009E3F23"/>
    <w:rsid w:val="009E48A0"/>
    <w:rsid w:val="009E5E57"/>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79F"/>
    <w:rsid w:val="00A119E4"/>
    <w:rsid w:val="00A129BC"/>
    <w:rsid w:val="00A12A29"/>
    <w:rsid w:val="00A13AB9"/>
    <w:rsid w:val="00A13AD4"/>
    <w:rsid w:val="00A13B85"/>
    <w:rsid w:val="00A13F21"/>
    <w:rsid w:val="00A14ACE"/>
    <w:rsid w:val="00A14E07"/>
    <w:rsid w:val="00A15D5D"/>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549"/>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6E20"/>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7EC"/>
    <w:rsid w:val="00A77BAC"/>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9FE"/>
    <w:rsid w:val="00A87AFD"/>
    <w:rsid w:val="00A87C24"/>
    <w:rsid w:val="00A906D9"/>
    <w:rsid w:val="00A90B89"/>
    <w:rsid w:val="00A91444"/>
    <w:rsid w:val="00A91914"/>
    <w:rsid w:val="00A91925"/>
    <w:rsid w:val="00A923BC"/>
    <w:rsid w:val="00A92800"/>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6E0D"/>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9F9"/>
    <w:rsid w:val="00AC320F"/>
    <w:rsid w:val="00AC3531"/>
    <w:rsid w:val="00AC37FB"/>
    <w:rsid w:val="00AC3DCC"/>
    <w:rsid w:val="00AC4060"/>
    <w:rsid w:val="00AC467F"/>
    <w:rsid w:val="00AC504C"/>
    <w:rsid w:val="00AC5C4F"/>
    <w:rsid w:val="00AC781E"/>
    <w:rsid w:val="00AD0766"/>
    <w:rsid w:val="00AD0D5F"/>
    <w:rsid w:val="00AD0FD7"/>
    <w:rsid w:val="00AD20F7"/>
    <w:rsid w:val="00AD21F5"/>
    <w:rsid w:val="00AD379C"/>
    <w:rsid w:val="00AD3AA1"/>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548"/>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517"/>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2B7C"/>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B8A"/>
    <w:rsid w:val="00B30C0C"/>
    <w:rsid w:val="00B31681"/>
    <w:rsid w:val="00B31690"/>
    <w:rsid w:val="00B31A6C"/>
    <w:rsid w:val="00B32BE2"/>
    <w:rsid w:val="00B32C7C"/>
    <w:rsid w:val="00B33452"/>
    <w:rsid w:val="00B335A2"/>
    <w:rsid w:val="00B338CD"/>
    <w:rsid w:val="00B35280"/>
    <w:rsid w:val="00B35400"/>
    <w:rsid w:val="00B35A25"/>
    <w:rsid w:val="00B36410"/>
    <w:rsid w:val="00B36714"/>
    <w:rsid w:val="00B36A07"/>
    <w:rsid w:val="00B36C9C"/>
    <w:rsid w:val="00B36CFD"/>
    <w:rsid w:val="00B37D3F"/>
    <w:rsid w:val="00B40D70"/>
    <w:rsid w:val="00B4122D"/>
    <w:rsid w:val="00B43389"/>
    <w:rsid w:val="00B43885"/>
    <w:rsid w:val="00B43EF9"/>
    <w:rsid w:val="00B445A3"/>
    <w:rsid w:val="00B45D6C"/>
    <w:rsid w:val="00B45DBC"/>
    <w:rsid w:val="00B46039"/>
    <w:rsid w:val="00B46E01"/>
    <w:rsid w:val="00B4711E"/>
    <w:rsid w:val="00B47C4F"/>
    <w:rsid w:val="00B47DA9"/>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5FB9"/>
    <w:rsid w:val="00B760D1"/>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59BD"/>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B7E37"/>
    <w:rsid w:val="00BC01DB"/>
    <w:rsid w:val="00BC02E0"/>
    <w:rsid w:val="00BC0881"/>
    <w:rsid w:val="00BC0ADD"/>
    <w:rsid w:val="00BC1C7F"/>
    <w:rsid w:val="00BC2812"/>
    <w:rsid w:val="00BC2A1B"/>
    <w:rsid w:val="00BC3FCA"/>
    <w:rsid w:val="00BC414B"/>
    <w:rsid w:val="00BC47D7"/>
    <w:rsid w:val="00BC4C9E"/>
    <w:rsid w:val="00BC4D79"/>
    <w:rsid w:val="00BC4F65"/>
    <w:rsid w:val="00BC5F63"/>
    <w:rsid w:val="00BC5F8F"/>
    <w:rsid w:val="00BC691C"/>
    <w:rsid w:val="00BC6E43"/>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6E43"/>
    <w:rsid w:val="00BD6E87"/>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0A86"/>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3D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3BC"/>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B6C"/>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083D"/>
    <w:rsid w:val="00C80905"/>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E61"/>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7C4"/>
    <w:rsid w:val="00CB09AD"/>
    <w:rsid w:val="00CB17BC"/>
    <w:rsid w:val="00CB1C5B"/>
    <w:rsid w:val="00CB23A3"/>
    <w:rsid w:val="00CB24F1"/>
    <w:rsid w:val="00CB35E8"/>
    <w:rsid w:val="00CB388E"/>
    <w:rsid w:val="00CB3CFD"/>
    <w:rsid w:val="00CB51F8"/>
    <w:rsid w:val="00CB5C6F"/>
    <w:rsid w:val="00CB5EC2"/>
    <w:rsid w:val="00CB6484"/>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3CE"/>
    <w:rsid w:val="00CD1EB7"/>
    <w:rsid w:val="00CD24B7"/>
    <w:rsid w:val="00CD2AFD"/>
    <w:rsid w:val="00CD3418"/>
    <w:rsid w:val="00CD53E0"/>
    <w:rsid w:val="00CD64F8"/>
    <w:rsid w:val="00CD67F2"/>
    <w:rsid w:val="00CD6871"/>
    <w:rsid w:val="00CE09EE"/>
    <w:rsid w:val="00CE1E4E"/>
    <w:rsid w:val="00CE23A7"/>
    <w:rsid w:val="00CE2A7D"/>
    <w:rsid w:val="00CE3A24"/>
    <w:rsid w:val="00CE3E26"/>
    <w:rsid w:val="00CE5300"/>
    <w:rsid w:val="00CE775A"/>
    <w:rsid w:val="00CE7978"/>
    <w:rsid w:val="00CE7E49"/>
    <w:rsid w:val="00CF04FA"/>
    <w:rsid w:val="00CF18D3"/>
    <w:rsid w:val="00CF262F"/>
    <w:rsid w:val="00CF2DF7"/>
    <w:rsid w:val="00CF3A4C"/>
    <w:rsid w:val="00CF4AAC"/>
    <w:rsid w:val="00CF4AE4"/>
    <w:rsid w:val="00CF5B3B"/>
    <w:rsid w:val="00CF66AE"/>
    <w:rsid w:val="00CF69D4"/>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557"/>
    <w:rsid w:val="00D14A96"/>
    <w:rsid w:val="00D157C2"/>
    <w:rsid w:val="00D162F0"/>
    <w:rsid w:val="00D1662E"/>
    <w:rsid w:val="00D167AB"/>
    <w:rsid w:val="00D16EE3"/>
    <w:rsid w:val="00D17D13"/>
    <w:rsid w:val="00D205EA"/>
    <w:rsid w:val="00D20F1B"/>
    <w:rsid w:val="00D2101D"/>
    <w:rsid w:val="00D2173C"/>
    <w:rsid w:val="00D2268D"/>
    <w:rsid w:val="00D2288F"/>
    <w:rsid w:val="00D23867"/>
    <w:rsid w:val="00D23B59"/>
    <w:rsid w:val="00D249AE"/>
    <w:rsid w:val="00D25BA8"/>
    <w:rsid w:val="00D26183"/>
    <w:rsid w:val="00D2667A"/>
    <w:rsid w:val="00D26B07"/>
    <w:rsid w:val="00D271D6"/>
    <w:rsid w:val="00D27B14"/>
    <w:rsid w:val="00D30F6A"/>
    <w:rsid w:val="00D31041"/>
    <w:rsid w:val="00D33446"/>
    <w:rsid w:val="00D33A46"/>
    <w:rsid w:val="00D344AD"/>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0FA7"/>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4D7"/>
    <w:rsid w:val="00D707CC"/>
    <w:rsid w:val="00D7094D"/>
    <w:rsid w:val="00D70AF0"/>
    <w:rsid w:val="00D71C07"/>
    <w:rsid w:val="00D724FD"/>
    <w:rsid w:val="00D727A5"/>
    <w:rsid w:val="00D727D2"/>
    <w:rsid w:val="00D728DA"/>
    <w:rsid w:val="00D72A6E"/>
    <w:rsid w:val="00D72B39"/>
    <w:rsid w:val="00D742FB"/>
    <w:rsid w:val="00D766A1"/>
    <w:rsid w:val="00D804D0"/>
    <w:rsid w:val="00D80688"/>
    <w:rsid w:val="00D80815"/>
    <w:rsid w:val="00D81B57"/>
    <w:rsid w:val="00D8252D"/>
    <w:rsid w:val="00D82A65"/>
    <w:rsid w:val="00D82FCF"/>
    <w:rsid w:val="00D83081"/>
    <w:rsid w:val="00D83692"/>
    <w:rsid w:val="00D83760"/>
    <w:rsid w:val="00D83A66"/>
    <w:rsid w:val="00D842E0"/>
    <w:rsid w:val="00D8466A"/>
    <w:rsid w:val="00D854B7"/>
    <w:rsid w:val="00D858DF"/>
    <w:rsid w:val="00D866B1"/>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121E"/>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1E3"/>
    <w:rsid w:val="00DB4C7A"/>
    <w:rsid w:val="00DB5B23"/>
    <w:rsid w:val="00DB669A"/>
    <w:rsid w:val="00DB7184"/>
    <w:rsid w:val="00DB74FF"/>
    <w:rsid w:val="00DC0FD1"/>
    <w:rsid w:val="00DC1CD9"/>
    <w:rsid w:val="00DC2086"/>
    <w:rsid w:val="00DC21F9"/>
    <w:rsid w:val="00DC3BF4"/>
    <w:rsid w:val="00DC3C14"/>
    <w:rsid w:val="00DC3C27"/>
    <w:rsid w:val="00DC4692"/>
    <w:rsid w:val="00DC542C"/>
    <w:rsid w:val="00DC5CA1"/>
    <w:rsid w:val="00DC6235"/>
    <w:rsid w:val="00DC65D4"/>
    <w:rsid w:val="00DC6A89"/>
    <w:rsid w:val="00DC76CA"/>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500"/>
    <w:rsid w:val="00DE4C3A"/>
    <w:rsid w:val="00DE4DC5"/>
    <w:rsid w:val="00DE50D1"/>
    <w:rsid w:val="00DE51C0"/>
    <w:rsid w:val="00DE53BB"/>
    <w:rsid w:val="00DE573E"/>
    <w:rsid w:val="00DE58E8"/>
    <w:rsid w:val="00DE5B9A"/>
    <w:rsid w:val="00DE5CD6"/>
    <w:rsid w:val="00DE5D7F"/>
    <w:rsid w:val="00DE5FF9"/>
    <w:rsid w:val="00DE6901"/>
    <w:rsid w:val="00DE6AF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16EF"/>
    <w:rsid w:val="00E12034"/>
    <w:rsid w:val="00E13CC7"/>
    <w:rsid w:val="00E15194"/>
    <w:rsid w:val="00E1565E"/>
    <w:rsid w:val="00E16ADA"/>
    <w:rsid w:val="00E16DB7"/>
    <w:rsid w:val="00E176BE"/>
    <w:rsid w:val="00E1795D"/>
    <w:rsid w:val="00E20E84"/>
    <w:rsid w:val="00E21052"/>
    <w:rsid w:val="00E219ED"/>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5C74"/>
    <w:rsid w:val="00E35D95"/>
    <w:rsid w:val="00E36017"/>
    <w:rsid w:val="00E36956"/>
    <w:rsid w:val="00E371D6"/>
    <w:rsid w:val="00E3738E"/>
    <w:rsid w:val="00E3786C"/>
    <w:rsid w:val="00E37DFA"/>
    <w:rsid w:val="00E410E6"/>
    <w:rsid w:val="00E41CA2"/>
    <w:rsid w:val="00E42228"/>
    <w:rsid w:val="00E4283B"/>
    <w:rsid w:val="00E43471"/>
    <w:rsid w:val="00E4564E"/>
    <w:rsid w:val="00E45BAC"/>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40"/>
    <w:rsid w:val="00E8280A"/>
    <w:rsid w:val="00E82B70"/>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1D1"/>
    <w:rsid w:val="00EC36E0"/>
    <w:rsid w:val="00EC3C6A"/>
    <w:rsid w:val="00EC4482"/>
    <w:rsid w:val="00EC462A"/>
    <w:rsid w:val="00EC47EE"/>
    <w:rsid w:val="00EC49E7"/>
    <w:rsid w:val="00EC6305"/>
    <w:rsid w:val="00EC6333"/>
    <w:rsid w:val="00EC66F6"/>
    <w:rsid w:val="00EC673A"/>
    <w:rsid w:val="00EC6DAF"/>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0BB6"/>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5D65"/>
    <w:rsid w:val="00EF6C0D"/>
    <w:rsid w:val="00F00974"/>
    <w:rsid w:val="00F00E2E"/>
    <w:rsid w:val="00F017E8"/>
    <w:rsid w:val="00F0258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6EE"/>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2FB"/>
    <w:rsid w:val="00F5038C"/>
    <w:rsid w:val="00F505A2"/>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5F00"/>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0817"/>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8F"/>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1BF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0ED3"/>
    <w:rsid w:val="00FB1E04"/>
    <w:rsid w:val="00FB1EEE"/>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2B"/>
    <w:rsid w:val="00FC0852"/>
    <w:rsid w:val="00FC0EA0"/>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4118E4"/>
    <w:pPr>
      <w:spacing w:before="240" w:after="240" w:line="360" w:lineRule="auto"/>
      <w:ind w:left="0"/>
      <w:jc w:val="both"/>
    </w:pPr>
    <w:rPr>
      <w:b/>
      <w:lang w:eastAsia="ja-JP"/>
    </w:rPr>
  </w:style>
  <w:style w:type="paragraph" w:customStyle="1" w:styleId="Proposal">
    <w:name w:val="Proposal"/>
    <w:basedOn w:val="ListParagraph"/>
    <w:link w:val="ProposalChar"/>
    <w:autoRedefine/>
    <w:qFormat/>
    <w:rsid w:val="004B57C7"/>
    <w:pPr>
      <w:numPr>
        <w:numId w:val="4"/>
      </w:numPr>
      <w:spacing w:before="240" w:after="240" w:line="360" w:lineRule="auto"/>
      <w:jc w:val="both"/>
    </w:pPr>
    <w:rPr>
      <w:b/>
    </w:rPr>
  </w:style>
  <w:style w:type="character" w:customStyle="1" w:styleId="ObservationChar">
    <w:name w:val="Observation Char"/>
    <w:basedOn w:val="B-BodyChar"/>
    <w:link w:val="Observation"/>
    <w:rsid w:val="004118E4"/>
    <w:rPr>
      <w:rFonts w:ascii="Times New Roman" w:eastAsia="Times New Roman" w:hAnsi="Times New Roman"/>
      <w:b/>
      <w:sz w:val="22"/>
      <w:lang w:val="en-GB" w:eastAsia="ja-JP"/>
    </w:rPr>
  </w:style>
  <w:style w:type="paragraph" w:styleId="TOC1">
    <w:name w:val="toc 1"/>
    <w:basedOn w:val="Normal"/>
    <w:next w:val="Normal"/>
    <w:autoRedefine/>
    <w:uiPriority w:val="39"/>
    <w:unhideWhenUsed/>
    <w:rsid w:val="0074270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4B57C7"/>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roposaltext">
    <w:name w:val="proposal text"/>
    <w:basedOn w:val="Normal"/>
    <w:rsid w:val="009E2B69"/>
    <w:pPr>
      <w:spacing w:before="100" w:beforeAutospacing="1" w:line="254" w:lineRule="auto"/>
    </w:pPr>
    <w:rPr>
      <w:rFonts w:eastAsia="SimSun"/>
      <w:sz w:val="24"/>
      <w:szCs w:val="24"/>
      <w:lang w:val="en-US" w:eastAsia="zh-CN"/>
    </w:rPr>
  </w:style>
  <w:style w:type="character" w:styleId="Emphasis">
    <w:name w:val="Emphasis"/>
    <w:uiPriority w:val="20"/>
    <w:qFormat/>
    <w:rsid w:val="00841E29"/>
    <w:rPr>
      <w:i/>
      <w:iCs/>
    </w:rPr>
  </w:style>
  <w:style w:type="paragraph" w:customStyle="1" w:styleId="ListParagraph3">
    <w:name w:val="List Paragraph3"/>
    <w:basedOn w:val="Normal"/>
    <w:rsid w:val="000E36AD"/>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8376453">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1435</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cp:lastModifiedBy>
  <cp:revision>2</cp:revision>
  <cp:lastPrinted>2017-09-12T10:53:00Z</cp:lastPrinted>
  <dcterms:created xsi:type="dcterms:W3CDTF">2023-08-10T04:51:00Z</dcterms:created>
  <dcterms:modified xsi:type="dcterms:W3CDTF">2023-08-10T04:51:00Z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-1320133948</vt:i4>
  </property>
  <property fmtid="{D5CDD505-2E9C-101B-9397-08002B2CF9AE}" pid="27" name="_EmailSubject">
    <vt:lpwstr>R18 MT-EDT draft paper</vt:lpwstr>
  </property>
  <property fmtid="{D5CDD505-2E9C-101B-9397-08002B2CF9AE}" pid="28" name="_AuthorEmail">
    <vt:lpwstr>pkadiri@qti.qualcomm.com</vt:lpwstr>
  </property>
  <property fmtid="{D5CDD505-2E9C-101B-9397-08002B2CF9AE}" pid="29" name="_AuthorEmailDisplayName">
    <vt:lpwstr>Prasad Kadiri</vt:lpwstr>
  </property>
</Properties>
</file>